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4" w:rsidRPr="007045F7" w:rsidRDefault="00BF1544" w:rsidP="00BF15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MINISTERUL S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N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T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ĂȚ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II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  <w:t xml:space="preserve">                              CASA NA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Ț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IONAL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BF1544" w:rsidRPr="007045F7" w:rsidRDefault="00BF1544" w:rsidP="00BF1544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DE ASIGUR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RI DE S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N</w:t>
      </w:r>
      <w:r w:rsidR="00864CF2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TATE</w:t>
      </w:r>
    </w:p>
    <w:p w:rsidR="00BF1544" w:rsidRPr="007045F7" w:rsidRDefault="00BF1544" w:rsidP="00BF1544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:rsidR="00BF1544" w:rsidRPr="007045F7" w:rsidRDefault="00BF1544" w:rsidP="00BF15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7045F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Nr. </w:t>
      </w:r>
      <w:r w:rsidR="00F3793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4353/27.12.</w:t>
      </w:r>
      <w:r w:rsidRPr="007045F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2023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ab/>
      </w:r>
      <w:r w:rsidR="006D55DF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     </w:t>
      </w:r>
      <w:r w:rsidRPr="007045F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</w:t>
      </w:r>
      <w:r w:rsidRPr="007045F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Nr. </w:t>
      </w:r>
      <w:r w:rsidR="006D55D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1236/19.12.</w:t>
      </w:r>
      <w:r w:rsidRPr="007045F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2023</w:t>
      </w:r>
    </w:p>
    <w:p w:rsidR="00A8175C" w:rsidRPr="007045F7" w:rsidRDefault="00A8175C" w:rsidP="00BF15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:rsidR="00BF1544" w:rsidRPr="007045F7" w:rsidRDefault="00BF1544" w:rsidP="00BF15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:rsidR="005C226A" w:rsidRPr="007045F7" w:rsidRDefault="005C226A" w:rsidP="00BF15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:rsidR="00BF1544" w:rsidRPr="005C7E23" w:rsidRDefault="007837CC" w:rsidP="007837C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ORDIN </w:t>
      </w:r>
    </w:p>
    <w:p w:rsidR="00733F84" w:rsidRPr="005C7E23" w:rsidRDefault="007837CC" w:rsidP="0073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modificarea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i completarea Normelor metodologice de aplicare a Hot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rii Guvernului </w:t>
      </w:r>
    </w:p>
    <w:p w:rsidR="00B57B13" w:rsidRPr="005C7E23" w:rsidRDefault="007837CC" w:rsidP="0073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521/2023 pentru aprobarea pachetelor de servicii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i a Contractului-cadru care reglementeaz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condi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iile acord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rii asisten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ei medicale, a medicamentelor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a dispozitivelor medicale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n cadrul sistemului de asigur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ri sociale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tate, aprobate prin Ordinul ministrului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i al pre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edintelui Casei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ionale de Asigur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C7E23">
        <w:rPr>
          <w:rFonts w:ascii="Times New Roman" w:hAnsi="Times New Roman" w:cs="Times New Roman"/>
          <w:b/>
          <w:sz w:val="24"/>
          <w:szCs w:val="24"/>
          <w:lang w:val="ro-RO"/>
        </w:rPr>
        <w:t>tate nr. 1857/441/2023</w:t>
      </w:r>
    </w:p>
    <w:p w:rsidR="007837CC" w:rsidRPr="007045F7" w:rsidRDefault="007837CC" w:rsidP="00BF15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226A" w:rsidRPr="007045F7" w:rsidRDefault="005C226A" w:rsidP="00BF15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7CC" w:rsidRPr="007045F7" w:rsidRDefault="007837CC" w:rsidP="00BF15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Av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nd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vedere Referatul de aprobare nr. </w:t>
      </w:r>
      <w:r w:rsidR="006D55DF">
        <w:rPr>
          <w:rFonts w:ascii="Times New Roman" w:hAnsi="Times New Roman" w:cs="Times New Roman"/>
          <w:sz w:val="24"/>
          <w:szCs w:val="24"/>
          <w:lang w:val="ro-RO"/>
        </w:rPr>
        <w:t xml:space="preserve">AR 23704/27.12.2023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al Ministerului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nr. </w:t>
      </w:r>
      <w:r w:rsidR="006D55DF">
        <w:rPr>
          <w:rFonts w:ascii="Times New Roman" w:hAnsi="Times New Roman" w:cs="Times New Roman"/>
          <w:sz w:val="24"/>
          <w:szCs w:val="24"/>
          <w:lang w:val="ro-RO"/>
        </w:rPr>
        <w:t>DG 6349/19.12.2023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al Casei Na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tate,     </w:t>
      </w:r>
    </w:p>
    <w:p w:rsidR="007837CC" w:rsidRPr="007045F7" w:rsidRDefault="00864CF2" w:rsidP="00BF15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7837CC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temeiul prevederilor:     </w:t>
      </w:r>
    </w:p>
    <w:p w:rsidR="007837CC" w:rsidRPr="007045F7" w:rsidRDefault="007837CC" w:rsidP="00BF15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- art. 229 alin. (4)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art. 291 alin. (2) din titlul VIII "Asigur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sociale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tate" din Legea nr. 95/2006 privind reforma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domeniul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ii, republicat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cu modific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complet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rile ulterioare;   </w:t>
      </w:r>
    </w:p>
    <w:p w:rsidR="007837CC" w:rsidRPr="007045F7" w:rsidRDefault="007837CC" w:rsidP="00BF15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- art. 7 alin. (4) din Hot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rea Guvernului nr. 144/2010 privind organizarea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ionarea Ministerului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ii, cu modific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complet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rile ulterioare;    </w:t>
      </w:r>
    </w:p>
    <w:p w:rsidR="007837CC" w:rsidRPr="007045F7" w:rsidRDefault="007837CC" w:rsidP="00BF15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- Hot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rii Guvernului nr. 521/2023 pentru aprobarea pachetelor de servicii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a Contractului-cadru care reglementeaz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iile acord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rii asisten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ei medicale, a medicamentelor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a dispozitivelor medicale,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cadrul sistemului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sociale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tate, cu modific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complet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rile ulterioare;     </w:t>
      </w:r>
    </w:p>
    <w:p w:rsidR="007837CC" w:rsidRPr="006D55DF" w:rsidRDefault="007837CC" w:rsidP="00BF15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- art. 17 alin. (5) din Statutul Casei Na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tate, aprobat prin Hot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Pr="006D55DF">
        <w:rPr>
          <w:rFonts w:ascii="Times New Roman" w:hAnsi="Times New Roman" w:cs="Times New Roman"/>
          <w:sz w:val="24"/>
          <w:szCs w:val="24"/>
          <w:lang w:val="ro-RO"/>
        </w:rPr>
        <w:t>Guvernului nr. 972/2006, cu modific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rile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D55DF">
        <w:rPr>
          <w:rFonts w:ascii="Times New Roman" w:hAnsi="Times New Roman" w:cs="Times New Roman"/>
          <w:sz w:val="24"/>
          <w:szCs w:val="24"/>
          <w:lang w:val="ro-RO"/>
        </w:rPr>
        <w:t>i complet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rile ulterioare;    </w:t>
      </w:r>
    </w:p>
    <w:p w:rsidR="007837CC" w:rsidRPr="006D55DF" w:rsidRDefault="007837CC" w:rsidP="00733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3F84" w:rsidRPr="006D55DF" w:rsidRDefault="00733F84" w:rsidP="00733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7CC" w:rsidRPr="006D55DF" w:rsidRDefault="00733F84" w:rsidP="00733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ministrul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i pre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edintele Casei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ionale de Asigur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tate emit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b/>
          <w:sz w:val="24"/>
          <w:szCs w:val="24"/>
          <w:lang w:val="ro-RO"/>
        </w:rPr>
        <w:t>torul ordin:</w:t>
      </w:r>
    </w:p>
    <w:p w:rsidR="00733F84" w:rsidRPr="006D55DF" w:rsidRDefault="00733F84" w:rsidP="00733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0CEC" w:rsidRPr="006D55DF" w:rsidRDefault="005E0CEC" w:rsidP="00A81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55DF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r w:rsidR="009258B1" w:rsidRPr="006D55DF">
        <w:rPr>
          <w:rFonts w:ascii="Times New Roman" w:hAnsi="Times New Roman" w:cs="Times New Roman"/>
          <w:b/>
          <w:sz w:val="24"/>
          <w:szCs w:val="24"/>
          <w:lang w:val="ro-RO"/>
        </w:rPr>
        <w:t>. I</w:t>
      </w:r>
      <w:r w:rsidRPr="006D55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F4DFC" w:rsidRPr="007045F7" w:rsidRDefault="005E0CEC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Normele metodologice de aplicare a Hot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rii Guvernului nr. 521/2023 pentru aprobarea pachetelor de servicii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i a Contractului-cadru care reglementeaz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iile acord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rii asisten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ei medicale, a medicamentelor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i a dispozitivelor medicale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n cadrul sistemului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ri sociale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tate, aprobate prin Ordinul ministrului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i al pre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edintelui Casei Na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ionale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tate nr. 1.857/441/2023, publicat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>n Monitorul Oficial al Rom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niei, Partea I, nr. 484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i 484 bis din 31 mai 2023, </w:t>
      </w:r>
      <w:r w:rsidR="009258B1" w:rsidRPr="006D55DF">
        <w:rPr>
          <w:rFonts w:ascii="Times New Roman" w:hAnsi="Times New Roman" w:cs="Times New Roman"/>
          <w:sz w:val="24"/>
          <w:szCs w:val="24"/>
          <w:lang w:val="ro-RO"/>
        </w:rPr>
        <w:t>cu modific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258B1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rile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258B1" w:rsidRPr="006D55DF">
        <w:rPr>
          <w:rFonts w:ascii="Times New Roman" w:hAnsi="Times New Roman" w:cs="Times New Roman"/>
          <w:sz w:val="24"/>
          <w:szCs w:val="24"/>
          <w:lang w:val="ro-RO"/>
        </w:rPr>
        <w:t>i complet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258B1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rile ulterioare, </w:t>
      </w:r>
      <w:r w:rsidR="007837CC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7837CC" w:rsidRPr="007045F7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837CC" w:rsidRPr="007045F7">
        <w:rPr>
          <w:rFonts w:ascii="Times New Roman" w:hAnsi="Times New Roman" w:cs="Times New Roman"/>
          <w:sz w:val="24"/>
          <w:szCs w:val="24"/>
          <w:lang w:val="ro-RO"/>
        </w:rPr>
        <w:t>i se completeaz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cum urmeaz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837CC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733F84" w:rsidRPr="007045F7" w:rsidRDefault="00733F84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40D5" w:rsidRPr="007045F7" w:rsidRDefault="006276EB" w:rsidP="00733F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1A458A" w:rsidRPr="007045F7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1740D5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tot cuprinsul anexei nr. 1, sintagma “senologie imagistic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1740D5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se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1740D5" w:rsidRPr="007045F7">
        <w:rPr>
          <w:rFonts w:ascii="Times New Roman" w:hAnsi="Times New Roman" w:cs="Times New Roman"/>
          <w:b/>
          <w:sz w:val="24"/>
          <w:szCs w:val="24"/>
          <w:lang w:val="ro-RO"/>
        </w:rPr>
        <w:t>nlocuie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1740D5" w:rsidRPr="007045F7">
        <w:rPr>
          <w:rFonts w:ascii="Times New Roman" w:hAnsi="Times New Roman" w:cs="Times New Roman"/>
          <w:b/>
          <w:sz w:val="24"/>
          <w:szCs w:val="24"/>
          <w:lang w:val="ro-RO"/>
        </w:rPr>
        <w:t>te cu sintagma “senologie imagistic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1740D5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femei”</w:t>
      </w:r>
      <w:r w:rsidR="003E6952" w:rsidRPr="007045F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740D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A458A" w:rsidRPr="007045F7" w:rsidRDefault="001A458A" w:rsidP="00733F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7D2D" w:rsidRPr="007045F7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B3B10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047D2D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anexa nr. 7, lit. B,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047D2D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tabelul de la subpunctul 1.8.1., la litera c)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047D2D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Nota de la </w:t>
      </w:r>
      <w:r w:rsidR="00047D2D" w:rsidRPr="007045F7">
        <w:rPr>
          <w:rFonts w:ascii="Times New Roman" w:hAnsi="Times New Roman" w:cs="Times New Roman"/>
          <w:b/>
          <w:sz w:val="24"/>
          <w:szCs w:val="24"/>
          <w:lang w:val="ro-RO"/>
        </w:rPr>
        <w:t>su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bpunctul c1.3)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va</w:t>
      </w:r>
      <w:r w:rsidR="00047D2D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047D2D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9B6287" w:rsidRPr="007045F7" w:rsidRDefault="009B6287" w:rsidP="009B6287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NOT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9B6287" w:rsidRPr="00224633" w:rsidRDefault="00864CF2" w:rsidP="009B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ncep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â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nd cu data intr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rii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 vigoare a Subprogramului na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ional de servicii conexe acordate persoanelor  diagnosticate cu 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tulbur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ri din spectrul autist, respectiv 1 octombrie 2023, serviciile din pachetul de baz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acordate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 perioada 1.10.2023 - </w:t>
      </w:r>
      <w:r w:rsidR="00C8344A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31.03.2024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 deconteaz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numai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 condi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iile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 care furnizorul de servicii conexe actului medical care acord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serviciul nu are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ncheiat contract cu casa de asigur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ri de s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tate pentru derularea Subprogramului na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ional de servicii  conexe acordate persoanelor diagnosticate cu tulbur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  din spectrul autist.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 aceast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perioad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asigura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ii pot beneficia de serviciul de consiliere psihologic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clinic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pentru copii diagnostica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i cu tulbur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 din spectrul autist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 cadrul pachetului de servicii de baz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, dac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nu beneficiaz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servicii ce fac obiectul Subprogramului na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ional de servicii conexe acordate persoanelor diagnosticate cu tulbur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 din spectrul autist.                     </w:t>
      </w:r>
    </w:p>
    <w:p w:rsidR="00047D2D" w:rsidRPr="007045F7" w:rsidRDefault="00864CF2" w:rsidP="009B6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ncep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â</w:t>
      </w:r>
      <w:r w:rsidR="009B6287" w:rsidRPr="00224633">
        <w:rPr>
          <w:rFonts w:ascii="Times New Roman" w:hAnsi="Times New Roman" w:cs="Times New Roman"/>
          <w:iCs/>
          <w:sz w:val="24"/>
          <w:szCs w:val="24"/>
          <w:lang w:val="ro-RO"/>
        </w:rPr>
        <w:t>nd cu data de 1 aprilie 2024,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serviciul consiliere psihologic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cl</w:t>
      </w:r>
      <w:r w:rsidR="00C8344A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inic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C8344A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pentru copii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diagnostica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 cu tulbur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ri din spectrul autist nu mai face obiectul pachetului de servicii de baz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.”</w:t>
      </w:r>
      <w:r w:rsidR="009B6287" w:rsidRPr="007045F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</w:t>
      </w:r>
    </w:p>
    <w:p w:rsidR="00047D2D" w:rsidRPr="007045F7" w:rsidRDefault="009B6287" w:rsidP="009B6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7045F7">
        <w:rPr>
          <w:rFonts w:ascii="Courier New" w:hAnsi="Courier New" w:cs="Courier New"/>
          <w:i/>
          <w:iCs/>
          <w:lang w:val="ro-RO"/>
        </w:rPr>
        <w:t xml:space="preserve">         </w:t>
      </w:r>
      <w:r w:rsidR="00047D2D" w:rsidRPr="007045F7">
        <w:rPr>
          <w:rFonts w:ascii="Courier New" w:hAnsi="Courier New" w:cs="Courier New"/>
          <w:i/>
          <w:iCs/>
          <w:lang w:val="ro-RO"/>
        </w:rPr>
        <w:t xml:space="preserve">                 </w:t>
      </w:r>
      <w:r w:rsidRPr="007045F7">
        <w:rPr>
          <w:rFonts w:ascii="Courier New" w:hAnsi="Courier New" w:cs="Courier New"/>
          <w:i/>
          <w:iCs/>
          <w:lang w:val="ro-RO"/>
        </w:rPr>
        <w:t xml:space="preserve">                               </w:t>
      </w:r>
    </w:p>
    <w:p w:rsidR="009B6287" w:rsidRPr="007045F7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B3B10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anexa nr. 7, lit. B,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tabelul de la subpunctul 1.8.1.,  la litera c)</w:t>
      </w:r>
      <w:r w:rsidR="00E4300B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Nota de la subpunctul  c1.5)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va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9B6287" w:rsidRPr="007045F7" w:rsidRDefault="009B6287" w:rsidP="009B62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„NOT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B6287" w:rsidRPr="007045F7" w:rsidRDefault="009B6287" w:rsidP="009B62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Pentru copii se deconteaz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numai pentru alte afec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iuni dec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t TSA. Pentru adul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 cu TSA,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ncep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nd cu data intr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rii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 vigoare a Subprogramului na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ional de servicii conexe  acordate persoanelor diagnosticate cu tulbur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ri din spectrul autist,  respectiv 1 octombrie 2023, serviciile din pachetul de baz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</w:t>
      </w:r>
    </w:p>
    <w:p w:rsidR="009B6287" w:rsidRPr="005C2A47" w:rsidRDefault="009B6287" w:rsidP="009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acordate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 perioada 1.10.2023 -</w:t>
      </w:r>
      <w:r w:rsidR="006276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C8344A" w:rsidRPr="005C2A47">
        <w:rPr>
          <w:rFonts w:ascii="Times New Roman" w:hAnsi="Times New Roman" w:cs="Times New Roman"/>
          <w:iCs/>
          <w:sz w:val="24"/>
          <w:szCs w:val="24"/>
          <w:lang w:val="ro-RO"/>
        </w:rPr>
        <w:t>31.03.2024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 deconteaz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numai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 condi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iile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 care furnizorul de servicii conexe actului medical care acord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serviciul nu are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ncheiat contract cu casa de asigur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tate pentru derularea Subprogramului na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ional de servicii conexe acordate persoanelor diagnosticate cu tulbur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 din spectrul autist.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 aceast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perioad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adul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 cu TSA pot beneficia de serviciul de psihoterapie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 cadrul pachetului de servicii de baz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nu beneficiaz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servicii ce fac obiectul Subprogramului na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>ional de servicii conexe acordate persoanelor diagnosticate cu tulbur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5C2A4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ri din spectrul autist.                                                   </w:t>
      </w:r>
    </w:p>
    <w:p w:rsidR="009B6287" w:rsidRPr="007045F7" w:rsidRDefault="00864CF2" w:rsidP="009B628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ncep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â</w:t>
      </w:r>
      <w:r w:rsidR="009B6287" w:rsidRPr="005C2A47">
        <w:rPr>
          <w:rFonts w:ascii="Times New Roman" w:hAnsi="Times New Roman" w:cs="Times New Roman"/>
          <w:iCs/>
          <w:sz w:val="24"/>
          <w:szCs w:val="24"/>
          <w:lang w:val="ro-RO"/>
        </w:rPr>
        <w:t>nd cu data de 1 aprilie 2024, adul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5C2A47">
        <w:rPr>
          <w:rFonts w:ascii="Times New Roman" w:hAnsi="Times New Roman" w:cs="Times New Roman"/>
          <w:iCs/>
          <w:sz w:val="24"/>
          <w:szCs w:val="24"/>
          <w:lang w:val="ro-RO"/>
        </w:rPr>
        <w:t>ii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TSA nu mai beneficiaz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serviciul de psihoterapie pentru aceast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afec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iune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n cadrul pachetului de servicii de baz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9B6287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.”</w:t>
      </w:r>
    </w:p>
    <w:p w:rsidR="009B6287" w:rsidRPr="007045F7" w:rsidRDefault="009B6287" w:rsidP="00A8175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3765" w:rsidRPr="005C2BCA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B3B10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 tot cuprinsul anexei nr. 7, sintagma “platforma informatic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depistare precoce a cancerului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n” se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nlocuie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te cu sintagma “platforma informatic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depistare precoce a cancerului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ncep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nd cu data implement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rii acesteia la nivel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ional”.  </w:t>
      </w:r>
    </w:p>
    <w:p w:rsidR="00857FBB" w:rsidRPr="005C2BCA" w:rsidRDefault="00857FBB" w:rsidP="00733F8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3765" w:rsidRPr="005C2BCA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B3B10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 tot cuprinsul anexei nr. 7, sintagma “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platforma informatic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screening specific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A8175C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nlocuie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te cu sintagma “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platforma informatic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screening specific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ncep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nd cu data implement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rii acesteia la nivel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ional”.  </w:t>
      </w:r>
    </w:p>
    <w:p w:rsidR="00733F84" w:rsidRPr="007045F7" w:rsidRDefault="00733F84" w:rsidP="00733F8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35D" w:rsidRPr="006D55DF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B3B10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anexa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8, la </w:t>
      </w:r>
      <w:r w:rsidR="00A8175C" w:rsidRPr="006D55DF">
        <w:rPr>
          <w:rFonts w:ascii="Times New Roman" w:hAnsi="Times New Roman" w:cs="Times New Roman"/>
          <w:b/>
          <w:sz w:val="24"/>
          <w:szCs w:val="24"/>
          <w:lang w:val="ro-RO"/>
        </w:rPr>
        <w:t>articolul</w:t>
      </w:r>
      <w:r w:rsidR="009258B1"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  <w:r w:rsidR="0073535D"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A8175C" w:rsidRPr="006D55DF">
        <w:rPr>
          <w:rFonts w:ascii="Times New Roman" w:hAnsi="Times New Roman" w:cs="Times New Roman"/>
          <w:b/>
          <w:sz w:val="24"/>
          <w:szCs w:val="24"/>
          <w:lang w:val="ro-RO"/>
        </w:rPr>
        <w:t>alineatul (1), litera d)</w:t>
      </w:r>
      <w:r w:rsidR="0073535D"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3535D"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73535D" w:rsidRPr="006D55DF">
        <w:rPr>
          <w:rFonts w:ascii="Times New Roman" w:hAnsi="Times New Roman" w:cs="Times New Roman"/>
          <w:b/>
          <w:sz w:val="24"/>
          <w:szCs w:val="24"/>
          <w:lang w:val="ro-RO"/>
        </w:rPr>
        <w:t>i va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3535D" w:rsidRPr="006D5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torul cuprins: </w:t>
      </w:r>
    </w:p>
    <w:p w:rsidR="0073535D" w:rsidRPr="007045F7" w:rsidRDefault="006276EB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3535D" w:rsidRPr="006D55DF">
        <w:rPr>
          <w:rFonts w:ascii="Times New Roman" w:hAnsi="Times New Roman" w:cs="Times New Roman"/>
          <w:sz w:val="24"/>
          <w:szCs w:val="24"/>
          <w:lang w:val="ro-RO"/>
        </w:rPr>
        <w:t>“d) pentru specialit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73535D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ile clinice,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6D55DF">
        <w:rPr>
          <w:rFonts w:ascii="Times New Roman" w:hAnsi="Times New Roman" w:cs="Times New Roman"/>
          <w:sz w:val="24"/>
          <w:szCs w:val="24"/>
          <w:lang w:val="ro-RO"/>
        </w:rPr>
        <w:t>n vederea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6D55DF">
        <w:rPr>
          <w:rFonts w:ascii="Times New Roman" w:hAnsi="Times New Roman" w:cs="Times New Roman"/>
          <w:sz w:val="24"/>
          <w:szCs w:val="24"/>
          <w:lang w:val="ro-RO"/>
        </w:rPr>
        <w:t>rii calit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73535D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ii serviciilor medicale,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6D55DF">
        <w:rPr>
          <w:rFonts w:ascii="Times New Roman" w:hAnsi="Times New Roman" w:cs="Times New Roman"/>
          <w:sz w:val="24"/>
          <w:szCs w:val="24"/>
          <w:lang w:val="ro-RO"/>
        </w:rPr>
        <w:t xml:space="preserve">n cadrul unui program de 7 ore/zi/medic/cabinet, se pot 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deconta lunar de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tre casa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tate servicii medicale corespunz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toare unui punctaj de 153 de puncte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medie pe zi, calculat la nivelul unei luni,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care num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rul de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 efectuate, raportate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decontate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medie pe zi este mai mic sau egal cu 19 ; pentru specialitatea psihiatrie, inclusiv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i pentru medicii cu supraspecializarea/competen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a/atestat de studii complementare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ngrijiri paliative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se pot deconta lunar de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tre casa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tate servicii medicale corespunz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toare unui punctaj de 150 de puncte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medie pe zi, calculat la nivelul unei luni,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care num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rul de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 efectuate, raportate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decontate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medie pe zi este mai mic sau egal cu 9; pentru specialitatea neurologie, inclusiv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i pentru specialitatea medicin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fizic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i de reabilitare se pot deconta lunar de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tre la casa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tate servicii medicale corespunz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toare unui punctaj de 154 de puncte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medie pe zi, calculat la nivelul unei luni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care num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rul de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 efectuate, raportate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decontate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3535D" w:rsidRPr="007045F7">
        <w:rPr>
          <w:rFonts w:ascii="Times New Roman" w:hAnsi="Times New Roman" w:cs="Times New Roman"/>
          <w:sz w:val="24"/>
          <w:szCs w:val="24"/>
          <w:lang w:val="ro-RO"/>
        </w:rPr>
        <w:t>n medie pe zi este mai mic sau egal cu 14.</w:t>
      </w:r>
    </w:p>
    <w:p w:rsidR="0073535D" w:rsidRPr="007045F7" w:rsidRDefault="0073535D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8175C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Pentru fiecare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plus fa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19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pentru specialit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ile clinice, respectiv 9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pentru specialitatea psihiatrie, inclusiv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pentru medicii cu supraspecializarea/competen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a/atestat de studii complementare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ngrijiri paliative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sau 14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pentru specialitatea neurologie, inclusiv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specialitatea medicin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fizic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reabilitare ce pot fi efectuate, raportate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decontate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medie pe zi,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iile raport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de servicii medicale cu un punctaj aferent de 150 puncte/153 puncte/154 puncte,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caz, punctajul corespunz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tor pentru serviciile medicale scade cu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 17 puncte pentru specialit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ile clinice, respectiv cu 30 de puncte pentru specialitatea psihiatrie, inclusiv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FA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pentru medicii cu supraspecializarea/competen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a/atestat de studii complementare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ngrijiri paliative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cu 22 de puncte pentru specialitatea neurologie, inclusiv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pentru specialitatea medicin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fizic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reabilitare. </w:t>
      </w:r>
    </w:p>
    <w:p w:rsidR="0073535D" w:rsidRPr="007045F7" w:rsidRDefault="0073535D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care programul de lucru al unui medic/cabinet este mai mare sau mai mic de 35 ore/s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pt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punctajul aferent num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rului de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ii, servicii medicale cre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 sau scade corespunz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tor.</w:t>
      </w:r>
    </w:p>
    <w:p w:rsidR="0073535D" w:rsidRPr="007045F7" w:rsidRDefault="0073535D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care adresabilitatea asigura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ilor la cabinetul medical dep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 nivelul prevederilor men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ionate mai sus se vor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ntocmi liste de prioritate pentru serviciile medicale programabile.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care programarea se realizeaz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prin mijloace de comunicare electronic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la distan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confirmarea program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rii se va transmite asiguratului prin mijloace de comunicare electronic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.”</w:t>
      </w:r>
    </w:p>
    <w:p w:rsidR="00A8175C" w:rsidRPr="007045F7" w:rsidRDefault="00A8175C" w:rsidP="00A817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5EC8" w:rsidRPr="007045F7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5C226A" w:rsidRPr="007045F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02D50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1740D5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anexa nr. 13, 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>dup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8175C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punctul</w:t>
      </w:r>
      <w:r w:rsidR="00CD392F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62, se introduce un nou punct, pct. 63, cu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CD392F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A064EB" w:rsidRPr="007045F7" w:rsidRDefault="0002700E" w:rsidP="00A8175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  <w:r w:rsidR="006276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„63. Arsurile de gradul IIB - III localizate pe fa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ță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, scalp, m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â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ini, picioare, organe genitale, perineu, articula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 mari 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i/sau arsuri de gradul III cu alte localiz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ri, dar care afecteaz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cel pu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in 10% din suprafa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a corporal</w:t>
      </w:r>
      <w:r w:rsidR="00864CF2"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="00A064EB" w:rsidRPr="007045F7">
        <w:rPr>
          <w:rFonts w:ascii="Times New Roman" w:hAnsi="Times New Roman" w:cs="Times New Roman"/>
          <w:iCs/>
          <w:sz w:val="24"/>
          <w:szCs w:val="24"/>
          <w:lang w:val="ro-RO"/>
        </w:rPr>
        <w:t>.”</w:t>
      </w:r>
    </w:p>
    <w:p w:rsidR="00E4300B" w:rsidRPr="007045F7" w:rsidRDefault="00E4300B" w:rsidP="00A8175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93287" w:rsidRPr="007045F7" w:rsidRDefault="006276EB" w:rsidP="00627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3D6AFD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593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Anexa nr. 17, litera A, Nota 4 de sub tabelul de la punctul 1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va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593287" w:rsidRPr="007045F7" w:rsidRDefault="005C2BCA" w:rsidP="005C2B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„NOTA 4: Investiga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iile paraclinice - analize de laborator recomandate de medicul de familie urmare a consulta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iilor preventive pentru copii cu 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rsta cuprins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 2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18 ani, persoanelor asimptomatice peste 18 ani, persoanelor cu 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rsta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 40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60 de ani care sunt deja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nregistrate la medicul de familie cu una sau mai multe boli cronice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persoanelor cu 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rsta de peste 60 de an</w:t>
      </w:r>
      <w:r w:rsidR="00A064EB" w:rsidRPr="007045F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care sunt deja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nregistrate la medicul de familie cu una sau mai multe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iuni cronice,  care sunt prev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zute la nota  1 de la punctul 1.2.1, nota 1 de la punctul 1.2.3, nota 2 de la punctul 1.2.6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nota 2 de la punctul 1.2.7, de la lit. B din anexa nr. 1 la Ordin</w:t>
      </w:r>
      <w:r w:rsidR="00F319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investiga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iile paraclinice - analize de laborator recomandate de medicul de familie pentru persoanele care nu prezint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simptome sugestive pentru diabet zaharat, cu 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rsta de 18 ani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peste, supraponderal</w:t>
      </w:r>
      <w:r w:rsidR="00F319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/obez</w:t>
      </w:r>
      <w:r w:rsidR="00F319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i/sau care prezint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unul sau mai mul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factori de risc pentru diabetul zaharat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cele recomandate de medicul de familie pentru persoanele cu 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rsta de 18 ani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peste, care nu prezint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simptome sugestive pentru boala cronic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rinichi, dar care au unul sau mai mul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factori de risc pentru boal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cronic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rinichi, prev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zute la pct. 1.2.8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1.2.9. de la lit. B din anexa nr. 1 la Ordin</w:t>
      </w:r>
      <w:r w:rsidR="00F319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, se efectueaz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 baza biletului de trimitere eliberat de medicul de familie; biletul de trimitere se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ntocme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te distinct pentru aceste investiga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 paraclinice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 are completat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mpul corespunz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tor preven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93287" w:rsidRPr="007045F7">
        <w:rPr>
          <w:rFonts w:ascii="Times New Roman" w:hAnsi="Times New Roman" w:cs="Times New Roman"/>
          <w:sz w:val="24"/>
          <w:szCs w:val="24"/>
          <w:lang w:val="ro-RO"/>
        </w:rPr>
        <w:t>iei.”</w:t>
      </w:r>
    </w:p>
    <w:p w:rsidR="004B3B10" w:rsidRPr="007045F7" w:rsidRDefault="004B3B10" w:rsidP="00733F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765" w:rsidRPr="005C2BCA" w:rsidRDefault="006276EB" w:rsidP="00733F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E0CEC" w:rsidRPr="005C2BCA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3D6AFD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 tot cuprinsul anexei nr. 22, sintagma “platforma informatic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depistare precoce a cancerului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n” se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nlocuie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te cu sintagma “platforma informatic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depistare precoce a cancerului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ncep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nd cu data implement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rii acesteia la nivel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ional”.  </w:t>
      </w:r>
    </w:p>
    <w:p w:rsidR="00733F84" w:rsidRPr="005C2BCA" w:rsidRDefault="00733F84" w:rsidP="00733F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2194" w:rsidRPr="005C2BCA" w:rsidRDefault="007045F7" w:rsidP="006276E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E0CEC" w:rsidRPr="005C2BCA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3D6AFD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 tot cuprinsul anexei nr. 22, sintagma “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platforma informatic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screening specific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se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nlocuie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te cu sintagma “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platforma informatic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screening specific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ncep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nd cu data implement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>rii acesteia la nivel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E3765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ional”. </w:t>
      </w:r>
    </w:p>
    <w:p w:rsidR="00733F84" w:rsidRPr="005C2BCA" w:rsidRDefault="007045F7" w:rsidP="00704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E0CEC" w:rsidRPr="005C2BCA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3D6AFD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Anexa 23 C,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>n tabelul de la sec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>iunea „Tariful mediu pe caz pentru spitalele de acu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non </w:t>
      </w:r>
      <w:r w:rsidR="00733F84" w:rsidRPr="005C2BCA">
        <w:rPr>
          <w:rFonts w:ascii="Times New Roman" w:hAnsi="Times New Roman" w:cs="Times New Roman"/>
          <w:b/>
          <w:sz w:val="24"/>
          <w:szCs w:val="24"/>
          <w:lang w:val="ro-RO"/>
        </w:rPr>
        <w:t>DRG,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respectiv pentru sec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>iile/compartimentele de acu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din spitalele de boli cronice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>i de recuperare”, titlul celei de a cincea coloane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>i va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F2194" w:rsidRPr="005C2BCA">
        <w:rPr>
          <w:rFonts w:ascii="Times New Roman" w:hAnsi="Times New Roman" w:cs="Times New Roman"/>
          <w:b/>
          <w:sz w:val="24"/>
          <w:szCs w:val="24"/>
          <w:lang w:val="ro-RO"/>
        </w:rPr>
        <w:t>torul cuprins: „Tarif mediu pe caz (lei)”.</w:t>
      </w:r>
    </w:p>
    <w:p w:rsidR="00733F84" w:rsidRPr="007045F7" w:rsidRDefault="00733F84" w:rsidP="00733F8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0A13" w:rsidRPr="007045F7" w:rsidRDefault="007045F7" w:rsidP="00704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</w:t>
      </w:r>
      <w:r w:rsidR="003D6AFD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</w:t>
      </w:r>
      <w:r w:rsidR="005E0CEC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  <w:r w:rsidR="003D6AFD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</w:t>
      </w:r>
      <w:r w:rsidR="00FA0A13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 anexa nr. 38, sub tabelul de la pct. 9, </w:t>
      </w:r>
      <w:r w:rsidR="00F319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la asteriscul</w:t>
      </w:r>
      <w:r w:rsidR="00FA0A13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**),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319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partea introductivă și 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literele a, a.1., a.2.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b.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vor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  <w:r w:rsidR="00FA0A13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FA0A13" w:rsidRPr="007045F7" w:rsidRDefault="00FA0A13" w:rsidP="0073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</w:t>
      </w:r>
      <w:r w:rsidR="00B00FA9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“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**) Aparatele de administrare continu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oxigen se acord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pentru 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iuni: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00FA9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Oxigenoterapie de lung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concentrator de oxigen sta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ionar - durata administr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rii cotidiene este &gt;/= 15 ore/zi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Indica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a. pacien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insuficien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respiratorie cronic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, cu hipoxie sever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/grav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repaos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pentru: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a.1. BPOC: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a.1.1. - la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ierea terapiei (prima prescriere) pentru valori ale raportului VEMS/CVF la efectuarea spirometriei, mai mici de 70%, asociat cu una dintre 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PaO2 &lt; 55 mmHG (sau SatO2 &lt;/= 88%),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 la distan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un episod acut</w:t>
      </w:r>
    </w:p>
    <w:p w:rsidR="00FA0A13" w:rsidRPr="007045F7" w:rsidRDefault="00FA0A13" w:rsidP="00B0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PaO2 55 - 59 mmHG (sau SatO2 &lt; 90%)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 la distan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un episod acut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unul din semnele clinice de cord pulmonar cronic, semne clinice de hipertensiune pulmonar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poliglobulie (Ht &gt; 55%)</w:t>
      </w:r>
    </w:p>
    <w:p w:rsidR="00FA0A13" w:rsidRPr="007045F7" w:rsidRDefault="00FA0A13" w:rsidP="0073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a.1.2. - la continuarea terapiei (urm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ii) - cu una dintre 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FA0A13" w:rsidRPr="007045F7" w:rsidRDefault="00FA0A13" w:rsidP="0073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PaO2 &lt; 55 mmHG (sau SatO2 &lt;/= 88%),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 la distan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un episod acut</w:t>
      </w:r>
    </w:p>
    <w:p w:rsidR="00FA0A13" w:rsidRPr="007045F7" w:rsidRDefault="00FA0A13" w:rsidP="0073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PaO2 55 - 59 mmHG (sau SatO2 &lt; 90%)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 la distan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un episod acut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unul din semnele clinice de cord pulmonar cronic, semne clinice de hipertensiune pulmonar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poliglobulie (Ht &gt; 55%).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cazul unei contraindica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relative la efectuarea spirometriei datorit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comorbidit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ilor, medicul va specifica acest lucru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recomandare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va anexa o spirometrie veche de maximum 3 ani cu raport VEMS/CVF &lt; 70%. La prima recomandare efectuat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3 luni de la recomandarea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medicul va anexa o spirometrie recent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raportul VEMS/CVF &lt; 70%.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iei este de maximum 90/91/92 de zile,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starea clinic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evolu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iunii pentru persoanele care nu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grad de handicap accentuat sau grav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maximum 12 luni pentru persoanele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grav, cu excep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persoanelor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 definitiv, pentru care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nelimitat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care fac recomandarea: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medici de specialitate pneumologie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medicin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intern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a.2. alte afec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iuni cu insuficien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respiratorie cronic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obstructiv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sau restrictiv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a.2.1. - pentru sindromul obstructiv la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ierea terapiei (prima prescriere) definit prin spirometrie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PaO2 &lt; 60 mm HG (sau Sat O2 &lt; 90%)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surate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repaus. La continuarea terapiei (urm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ii) trebuie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ndeplinit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PaO2 &lt; 60 mm HG (sau Sat O2 &lt; 90%)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repaus.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cazul unei contraindica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relative la efectuarea spirometriei datorit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comorbidit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ilor, medicul va specifica acest lucru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recomandare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va anexa o spirometrie veche de maximum 3 ani cu raport VEMS/CVF &lt; 70%. La prima recomandare efectuat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3 luni de la recomandarea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medicul va anexa o spirometrie recent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raportul VEMS/CVF &lt; 70%.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a.2.2. - pentru sindromul restrictiv, la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ierea terapiei (prima prescriere) definit prin capacitate pulmonar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total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&lt;/= 60% din valoarea prezis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sau factorul de transfer gazos prin membrana alveolo-capilar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(Dlco &lt; 40% din valoarea prezis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PaO2 &lt; 60 mm HG (sau Sat O2 &lt; 90%)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repaus. La continuarea terapiei (urm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ii) trebuie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ndeplinit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PaO2 &lt; 60 mm HG (sau Sat O2 &lt; 90%),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repaus.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cazul unei contraindica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relative la efectuarea explor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rii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ionale re</w:t>
      </w:r>
      <w:r w:rsidR="0082108A" w:rsidRPr="007045F7">
        <w:rPr>
          <w:rFonts w:ascii="Times New Roman" w:hAnsi="Times New Roman" w:cs="Times New Roman"/>
          <w:sz w:val="24"/>
          <w:szCs w:val="24"/>
          <w:lang w:val="ro-RO"/>
        </w:rPr>
        <w:t>spiratorii datorit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2108A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comorbidit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ilor, medicul va specifica acest lucru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recomandare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la prima recomandare efectuat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3 luni de la recomandarea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medicul va anexa o explorare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respiratorie recent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care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ndeplineasc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iile de mai sus.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iei este de maximum 90/91/92 de zile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starea clinic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evolu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iunii pentru persoanele care nu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grad de handicap accentuat sau grav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maximum 12 luni pentru persoanele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grav, cu excep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persoanelor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 definitiv, pentru care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nelimitat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care fac recomandarea: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medici de specialitate pneumologie, pneumologie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, cardiologie, oncologie, pediatrie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medicin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intern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b. pacien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insuficien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respiratorie medie sau sever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ca urmare a infec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SARS-CoV-2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externarea din spital sau care au trecut printr-un sistem de triaj specific infec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SARS-CoV-2 sau pacien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cu boli infecto-contagioase cu risc pandemic care dezvolt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insuficien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respiratorie, cu urm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toarele condi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Sat O2 &lt; 90%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prin pulsoximetrie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i/sau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PaO2 &lt; 60 mm HG 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prin ASTRUP arterial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repaus.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de maximum 90/91/92 de zile (cu reevaluare la sf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itul perioadei).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care fac recomandarea:</w:t>
      </w:r>
    </w:p>
    <w:p w:rsidR="00FA0A13" w:rsidRPr="007045F7" w:rsidRDefault="00FA0A13" w:rsidP="00FA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medici de specialitate pneumologie, pneumologie pediatric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boli infec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ioase, medicin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intern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medicale.”</w:t>
      </w:r>
    </w:p>
    <w:p w:rsidR="00FA0A13" w:rsidRPr="007045F7" w:rsidRDefault="00FA0A13" w:rsidP="00FA0A13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FA0A13" w:rsidRPr="007045F7" w:rsidRDefault="005E0CEC" w:rsidP="00177783">
      <w:pPr>
        <w:suppressAutoHyphens/>
        <w:autoSpaceDN w:val="0"/>
        <w:spacing w:line="254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13</w:t>
      </w:r>
      <w:r w:rsidR="003D6AFD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</w:t>
      </w:r>
      <w:r w:rsidR="00FA0A13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n anexa nr. 38, pct. 9, dup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FA0A13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litera b. de la </w:t>
      </w:r>
      <w:r w:rsidR="00F3191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asteriscul</w:t>
      </w:r>
      <w:r w:rsidR="00FA0A13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**),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introduce o nou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liter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>, litera c. cu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A0A1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torul cuprins: </w:t>
      </w:r>
    </w:p>
    <w:p w:rsidR="00FA0A13" w:rsidRPr="007045F7" w:rsidRDefault="00FA0A13" w:rsidP="00B00FA9">
      <w:pPr>
        <w:suppressAutoHyphens/>
        <w:spacing w:line="240" w:lineRule="auto"/>
        <w:ind w:firstLine="360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„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c.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Oxigenoterapie de lung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cu concentrator de oxigen portabil.</w:t>
      </w:r>
    </w:p>
    <w:p w:rsidR="00FA0A13" w:rsidRPr="007045F7" w:rsidRDefault="00FA0A13" w:rsidP="00B00FA9">
      <w:pPr>
        <w:suppressAutoHyphens/>
        <w:spacing w:line="240" w:lineRule="auto"/>
        <w:ind w:firstLine="36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c.1. Pacien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 f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r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ie de oxigenoterapie de lung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cu concentrator de oxigen sta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ionar. 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Criterii de acordare la ini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ierea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iei:</w:t>
      </w:r>
    </w:p>
    <w:p w:rsidR="00FA0A13" w:rsidRPr="007045F7" w:rsidRDefault="00FA0A13" w:rsidP="00FA0A13">
      <w:pPr>
        <w:suppressAutoHyphens/>
        <w:spacing w:after="0" w:line="240" w:lineRule="auto"/>
        <w:ind w:firstLine="36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Boal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pulmonar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tip obstructiv (definit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prin raport VEMS/CV &lt; 70%) sau restrictiv (definit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prin CPT &lt; 70% din valoarea prezis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i/sau DLco &lt; 60% din valoarea prezis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),</w:t>
      </w:r>
    </w:p>
    <w:p w:rsidR="00FA0A13" w:rsidRPr="007045F7" w:rsidRDefault="00FA0A13" w:rsidP="00FA0A13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Dispnee semnificativ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la efort (scor de minim 2 pe scala MMRC) la distan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,</w:t>
      </w:r>
    </w:p>
    <w:p w:rsidR="00FA0A13" w:rsidRPr="007045F7" w:rsidRDefault="00FA0A13" w:rsidP="00FA0A13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Desaturare sever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la efort – sc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derea SpO2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cursul testului de mers 6 minute sub 88% la distan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,</w:t>
      </w:r>
    </w:p>
    <w:p w:rsidR="00FA0A13" w:rsidRPr="007045F7" w:rsidRDefault="00FA0A13" w:rsidP="00FA0A13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Decizia medicului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exist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un poten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ial beneficiu al administr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rii oxigenului portabil </w:t>
      </w:r>
      <w:r w:rsidR="00F3191D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unui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:</w:t>
      </w:r>
    </w:p>
    <w:p w:rsidR="00FA0A13" w:rsidRPr="007045F7" w:rsidRDefault="00FA0A13" w:rsidP="00FA0A1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pacient activ (salariat sau elev/student cu frecven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="009F3B2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sau alte situa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="009F3B26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ii</w:t>
      </w:r>
      <w:r w:rsidRPr="00F27198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),</w:t>
      </w:r>
      <w:r w:rsidR="00DD4BEA" w:rsidRPr="00F27198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sau</w:t>
      </w:r>
    </w:p>
    <w:p w:rsidR="00FA0A13" w:rsidRPr="007045F7" w:rsidRDefault="00FA0A13" w:rsidP="00FA0A1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pacient capabil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dispus 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fac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efort fizic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ei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majoritatea zilelor.</w:t>
      </w: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Criterii de acordare la urm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toarele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ii:</w:t>
      </w:r>
    </w:p>
    <w:p w:rsidR="00FA0A13" w:rsidRPr="007045F7" w:rsidRDefault="00FA0A13" w:rsidP="00FA0A13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Criteriile de mai sus re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nnoite anual,</w:t>
      </w:r>
    </w:p>
    <w:p w:rsidR="00FA0A13" w:rsidRPr="007045F7" w:rsidRDefault="00FA0A13" w:rsidP="00FA0A13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Durata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iei este de maximum 90/91/92 de zile,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func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starea clinic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evolu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afec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grad de handicap accentuat sau grav,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grad de handicap grav sau accentuat. Medicul curant evalueaz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 la fiecare vizit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cazul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care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dispare datorit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evolu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favorabile a bolii sub tratament sau datorit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remisiunii unei exacerb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 acute, acesta va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ntrerupe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portabil.</w:t>
      </w:r>
    </w:p>
    <w:p w:rsidR="00FA0A13" w:rsidRPr="007045F7" w:rsidRDefault="00FA0A13" w:rsidP="00FA0A13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Medicii curan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care fac recomandarea:</w:t>
      </w: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medici de specialitate pneumologie sau pneumologie pediatric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care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contract cu casele de asigur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ri de 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tate pentru furnizarea de servicii medicale.</w:t>
      </w: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   Recomandarea este obligatoriu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nso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formularul prev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zut la Anexa 38 A, asumat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paraf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medic, respectiv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asigurat.</w:t>
      </w:r>
    </w:p>
    <w:p w:rsidR="00FA0A13" w:rsidRPr="007045F7" w:rsidRDefault="00FA0A13" w:rsidP="00FA0A13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c.2. Pacien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 cu indica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ie de oxigenoterapie de lung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cu concentrator de oxigen sta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ionar</w:t>
      </w: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Criterii de acordare la ini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ierea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(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plus fa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criteriile de acordare a concentratorului de oxigen sta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ionar):</w:t>
      </w:r>
    </w:p>
    <w:p w:rsidR="00FA0A13" w:rsidRPr="007045F7" w:rsidRDefault="00FA0A13" w:rsidP="00FA0A1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Dispnee semnificativ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la efort (scor de minim 2 pe scala MMRC) la distan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,</w:t>
      </w:r>
    </w:p>
    <w:p w:rsidR="00FA0A13" w:rsidRPr="007045F7" w:rsidRDefault="00FA0A13" w:rsidP="00FA0A1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Test de mers 6 minute efectuat cu titrare de oxigen (adic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debit de oxigen cresc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â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nd pentru a men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ine o SpO2 de minim 88%) la distan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, pentru a certifica abilitatea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disponibilitatea pacientului de a efectua efort fizic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ei,</w:t>
      </w:r>
    </w:p>
    <w:p w:rsidR="00FA0A13" w:rsidRPr="007045F7" w:rsidRDefault="00FA0A13" w:rsidP="00FA0A1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Decizia medicului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exist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un poten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ial beneficiu al administr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rii oxigenului portabil </w:t>
      </w:r>
      <w:r w:rsidR="00A9593D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unui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:</w:t>
      </w:r>
    </w:p>
    <w:p w:rsidR="00FA0A13" w:rsidRPr="007045F7" w:rsidRDefault="00FA0A13" w:rsidP="00FA0A1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pacient activ (salariat sau elev/student cu frecven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="00583B1C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sau alte situa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="00583B1C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ii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),</w:t>
      </w:r>
      <w:r w:rsidR="00DD4BEA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DD4BEA" w:rsidRPr="00F27198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sau</w:t>
      </w:r>
    </w:p>
    <w:p w:rsidR="00FA0A13" w:rsidRPr="007045F7" w:rsidRDefault="00FA0A13" w:rsidP="00FA0A1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pacient capabil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dispus 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fac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efort fizic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ei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majoritatea zilelor.</w:t>
      </w:r>
    </w:p>
    <w:p w:rsidR="00FA0A13" w:rsidRPr="007045F7" w:rsidRDefault="00FA0A13" w:rsidP="00FA0A13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Durata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iei este de maximum 90/91/92 de zile,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func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starea clinic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evolu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afec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grad de handicap accentuat sau grav,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grad de handicap grav sau accentuat. Medicul curant evalueaz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 la fiecare vizit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cazul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care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dispare datorit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evolu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favorabile a bolii sub tratament sau datorit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remisiunii unei exacerb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 acute, acesta va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ntrerupe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portabil.</w:t>
      </w:r>
    </w:p>
    <w:p w:rsidR="00FA0A13" w:rsidRPr="007045F7" w:rsidRDefault="00FA0A13" w:rsidP="00FA0A13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Medicii curan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care fac recomandarea:</w:t>
      </w: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medici de specialitate pneumologie sau pneumologie pediatric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care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contract cu casele de asigur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ri de 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tate pentru furnizarea de servicii medicale.</w:t>
      </w:r>
    </w:p>
    <w:p w:rsidR="00FA0A13" w:rsidRPr="007045F7" w:rsidRDefault="00FA0A13" w:rsidP="00FA0A13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   Recomandarea este obligatoriu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nso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formularul prev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zut la Anexa 38 B, asumat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paraf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medic, respectiv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asigurat.”</w:t>
      </w:r>
    </w:p>
    <w:p w:rsidR="00B00FA9" w:rsidRPr="007045F7" w:rsidRDefault="00B00FA9" w:rsidP="0025212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0D1C" w:rsidRPr="007045F7" w:rsidRDefault="007045F7" w:rsidP="007045F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3D6AFD" w:rsidRPr="007045F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3D6AFD" w:rsidRPr="007045F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D6AF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</w:t>
      </w:r>
      <w:r w:rsidR="00C40D1C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 anexa nr. 38, sub tabelul de la pct. 9, </w:t>
      </w:r>
      <w:r w:rsidR="00F07B70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prevederile literelor a., b., d. 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ș</w:t>
      </w:r>
      <w:r w:rsidR="00F07B70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 e.  de la asterisc </w:t>
      </w:r>
      <w:r w:rsidR="0025212A" w:rsidRPr="007045F7">
        <w:rPr>
          <w:rFonts w:ascii="Times New Roman" w:hAnsi="Times New Roman" w:cs="Times New Roman"/>
          <w:sz w:val="24"/>
          <w:szCs w:val="24"/>
          <w:lang w:val="ro-RO"/>
        </w:rPr>
        <w:t>****)</w:t>
      </w:r>
      <w:r w:rsidR="00C40D1C"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25212A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5212A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25212A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vor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5212A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AD4BB9" w:rsidRPr="007045F7" w:rsidRDefault="00FE7B08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D4BB9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a. pacien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AD4BB9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Sindrom de apnee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="00AD4BB9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 somn de tip obstructiv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="00AD4BB9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mixt: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La adul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sindromul de apnee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somn de tip obstructiv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mixt se clasific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or - IAH &lt; 15 (dac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pacientul este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nalt simptomatic, cu scor Epworth &gt;/= 10);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moderat - IAH 15 - 30;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sever - IAH &gt; 30;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La copii sindromul de apnee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somn de tip obstructiv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mixt se clasific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or - IAH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ntre 1 - 5;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moderat - IAH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 5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10;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- sever - IAH mai mare/= 10.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iei este de maximum 90/91/92 de zile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starea clinic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evolu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iunii, pentru persoanele care nu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grad de handicap accentuat sau grav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maximum 12 luni pentru persoanele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grav, cu excep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persoanelor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 definitiv, pentru care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nelimitat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cu posibilitatea 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nnoirii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3 luni. Emiterea celei de a doua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cu durata de 90/91/92 de zile se poate realiza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45 de zile de la prima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ie. </w:t>
      </w:r>
    </w:p>
    <w:p w:rsidR="00AD4BB9" w:rsidRPr="007045F7" w:rsidRDefault="000649C1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care fac recomandarea: medicii de orice specialitate cu atestat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 poligrafie, polisomnografie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titrare CPAP/BPAP,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medicale;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sz w:val="24"/>
          <w:szCs w:val="24"/>
          <w:u w:val="single"/>
          <w:lang w:val="ro-RO"/>
        </w:rPr>
        <w:t>Dispozitive recomandate: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care necesit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stabilire prin titrare - CPAP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cu posibilitatea auto-ajust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presiunii - Auto CPAP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aeriene superioare emise spontan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stabilite prin titrare - Bi-level S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cazul e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ecului sau intoleran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ei la terapia cu CPAP/aCPAP,</w:t>
      </w:r>
    </w:p>
    <w:p w:rsidR="004D3C9B" w:rsidRPr="007045F7" w:rsidRDefault="00AD4BB9" w:rsidP="004D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cu posibilitatea controlului frecven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ei respiratorii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4D3C9B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/sau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controlului volumului curent administrat - Bi-level S/T cu op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iune de asisten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volumului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cazul e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ecului sau intoleran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ei la terapia cu CPAP/aCPAP.</w:t>
      </w:r>
      <w:r w:rsidR="004D3C9B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cu posibilitatea auto-ajust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acestora - Auto Bi-level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func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 pre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sure relief,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cazul intoleran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ei la terapia cu Bi-level S sau S/T.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b. Sindrom de apnee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somn de tip central: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Pentru pacien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cu IAH &gt; 5/h cu prezen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apneelor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hipopneelor de tip central &gt; 50% din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nregistare/evenimente centrale &gt; 50% din IAH (minim &gt; 2,5/h) demonstrate polisomnografic/poligrafic.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Se efectueaz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ini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ial titrare CPAP.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iei este de maximum 90/91/92 de zile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starea clinic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evolu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iunii, pentru persoanele care nu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grad de handicap accentuat sau grav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maximum 12 luni pentru persoanele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grav, cu excep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persoanelor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 definitiv, pentru care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nelimitat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cu posibilitatea 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nnoirii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3 luni. Emiterea celei de a doua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cu durata de 90/91/92 de zile se poate realiza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45 de zile de la prima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care fac recomandarea: medicii de orice specialitate cu atestat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 poligrafie, polisomnografie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titrare CPAP/BPAP,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sz w:val="24"/>
          <w:szCs w:val="24"/>
          <w:u w:val="single"/>
          <w:lang w:val="ro-RO"/>
        </w:rPr>
        <w:t>Dispozitive recomandate: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care necesit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stabilire prin titrare - CPAP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cu posibilitatea controlului frecven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ei respiratorii tip Bi-level S/T pentru tratamentul apneei centrale, complexe, mixte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al respira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periodice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cu posibilitatea auto-ajust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acestora - Auto Bi-level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func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 pres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ure relief,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cazul intoleran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ei la terapia cu Bi-level S sau S/T.</w:t>
      </w:r>
    </w:p>
    <w:p w:rsidR="00AD4BB9" w:rsidRPr="007045F7" w:rsidRDefault="0025212A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>……………………………………………………………………………………………………………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d. Sindrom de apnee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somn complex: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Emergen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 sau persisten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 apneelor centrale (nr. apnee pe ora de somn &gt;/= 5) sau a respira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Cheyne-Stokes la pacien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ii cu sindrom de apnee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somn obstructiv afla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sub tratament CPAP care au eliminat excelent, bine sau mul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umitor evenimentele obstructive.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iei este de maximum 90/91/92 de zile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starea clinic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evolu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iunii, pentru persoanele care nu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grad de handicap accentuat sau grav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maximum 12 luni pentru persoanele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grav, cu excep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persoanelor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 definitiv, pentru care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nelimitat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cu posibilitatea 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nnoirii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3 luni. Emiterea celei de a doua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cu durata de 90/91/92 de zile se poate realiza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45 de zile de la prima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care fac recomandarea: medicii de orice specialitate cu atestat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 poligrafie, polisomnografie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titrare CPAP/BPAP,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sz w:val="24"/>
          <w:szCs w:val="24"/>
          <w:u w:val="single"/>
          <w:lang w:val="ro-RO"/>
        </w:rPr>
        <w:t>Dispozitive recomandate: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cu posibilitatea controlului frecven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ei respiratorii tip Bi-level S/T pentru tratamentul apneei centrale, complexe, mixte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al respira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periodice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cu posibilitatea auto-ajust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acestora - Auto Bi-level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func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 pre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sure relief,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cazul intoleran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ei la terapia cu Bi-level S sau S/T.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e. Sindrom de obezitate - hipoventila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 (se asociaz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90% din cazuri cu SASO):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Trebuie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ndeplinit cel pu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in unul dintre criteriile de mai jos: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1. Hipercapnie nocturn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PaCO2 &gt;/= 55 mm Hg demonstrat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prin analiza gazelor sanguine imediate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momentul trezirii,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2. Cre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terea nivelului PTCO2 &gt;/= 10 mm Hg pe timp de noapte comparativ cu valoare de la culcare, demonstrat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prin capnometrie transcutanat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sau respiratorie,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3. Poligrafia, polisomnografia sau pulsoximetria continu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nocturn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SaO2 &lt; 90% cu durata de &gt; 30% din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nregistrare sub CPAP,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4.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timpul titr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rii manuale polisomnografice, SpO2 este &lt;/= 90% timp de 5 minute sau mai mult, cu un minim de cel pu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in 85%,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5. Indice de mas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corporal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peste 40 kg/m</w:t>
      </w:r>
      <w:r w:rsidRPr="007045F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iei este de maximum 90/91/92 de zile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starea clinic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evolu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afec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iunii, pentru persoanele care nu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grad de handicap accentuat sau grav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de maximum 12 luni pentru persoanele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grav, cu excep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persoanelor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ncadrate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grad de handicap accentuat sau grav definitiv, pentru care durata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este nelimitat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cu posibilitatea re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nnoirii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3 luni. Emiterea celei de a doua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ii cu durata de 90/91/92 de zile se poate realiza dup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citirea cardului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, dac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este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45 de zile de la prima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Medici curan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care fac recomandarea: medicii de orice specialitate cu atestat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Somnologie,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Managementul general, clinic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terapeutic al tulbur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rilor respiratorii din timpul somnului - Somnologie poligrafie, polisomnografie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titrare CPAP/BPAP, care sunt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contract cu casele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tate pentru furnizarea de servicii medicale.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sz w:val="24"/>
          <w:szCs w:val="24"/>
          <w:u w:val="single"/>
          <w:lang w:val="ro-RO"/>
        </w:rPr>
        <w:t>Dispozitive recomandate: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care necesit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stabilire prin titrare - CPAP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de presiune emise spontan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aeriene superioare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stabilite prin titrare - Bi-level S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administrat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nivelul 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aeriene superioare cu posibilitatea controlului frecven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ei respiratorii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5D59CB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/sau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controlului volumului curent administrat - Bi-level S/T, cu op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iune de asisten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volumului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- 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2 nivele cu posibilitatea auto-ajust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acestora - Auto Bi-level cu card de complian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 func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ie pres</w:t>
      </w:r>
      <w:r w:rsidR="00FE7B08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ure relief, 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n cazul intoleran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ei la terapia cu Bi-level S sau S/T.</w:t>
      </w:r>
      <w:r w:rsidR="00353129" w:rsidRPr="007045F7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5212A" w:rsidRPr="005C2BCA" w:rsidRDefault="003D6AFD" w:rsidP="00B00F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E0CEC" w:rsidRPr="005C2BCA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</w:t>
      </w:r>
      <w:r w:rsidR="0025212A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n anexa nr. 38, sub tabelul de la pct. 9, dup</w:t>
      </w:r>
      <w:r w:rsidR="00864C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25212A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litera e</w:t>
      </w:r>
      <w:r w:rsidR="00F07B70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)</w:t>
      </w:r>
      <w:r w:rsidR="0025212A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la </w:t>
      </w:r>
      <w:r w:rsidR="00F07B70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asterisc </w:t>
      </w:r>
      <w:r w:rsidR="0025212A" w:rsidRPr="005C2BCA">
        <w:rPr>
          <w:rFonts w:ascii="Times New Roman" w:hAnsi="Times New Roman" w:cs="Times New Roman"/>
          <w:b/>
          <w:sz w:val="24"/>
          <w:szCs w:val="24"/>
          <w:lang w:val="ro-RO"/>
        </w:rPr>
        <w:t>****)</w:t>
      </w:r>
      <w:r w:rsidR="0025212A" w:rsidRPr="005C2B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25212A" w:rsidRPr="005C2B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introduce o Not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5212A" w:rsidRPr="005C2BCA">
        <w:rPr>
          <w:rFonts w:ascii="Times New Roman" w:hAnsi="Times New Roman" w:cs="Times New Roman"/>
          <w:b/>
          <w:sz w:val="24"/>
          <w:szCs w:val="24"/>
          <w:lang w:val="ro-RO"/>
        </w:rPr>
        <w:t>, cu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5212A" w:rsidRPr="005C2BCA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AD4BB9" w:rsidRPr="007045F7" w:rsidRDefault="00353129" w:rsidP="00AD4B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AD4BB9" w:rsidRPr="007045F7">
        <w:rPr>
          <w:rFonts w:ascii="Times New Roman" w:hAnsi="Times New Roman" w:cs="Times New Roman"/>
          <w:b/>
          <w:sz w:val="24"/>
          <w:szCs w:val="24"/>
          <w:lang w:val="ro-RO"/>
        </w:rPr>
        <w:t>Not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5D7B05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****)</w:t>
      </w:r>
      <w:r w:rsidR="00AD4BB9" w:rsidRPr="007045F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D4BB9" w:rsidRPr="007045F7" w:rsidRDefault="00AD4BB9" w:rsidP="00AD4B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care asiguratul cu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de &gt;/=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&gt;/=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ultimele 3 luni renun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tratament, reluarea terapiei cu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suport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CPAP/BPAP se realizeaz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astfel:</w:t>
      </w:r>
    </w:p>
    <w:p w:rsidR="00AD4BB9" w:rsidRPr="007045F7" w:rsidRDefault="00AD4BB9" w:rsidP="00AD4B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F7">
        <w:rPr>
          <w:rFonts w:ascii="Times New Roman" w:hAnsi="Times New Roman" w:cs="Times New Roman"/>
          <w:sz w:val="24"/>
          <w:szCs w:val="24"/>
        </w:rPr>
        <w:t>Pentru o perioad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 xml:space="preserve"> de </w:t>
      </w:r>
      <w:r w:rsidR="00864CF2">
        <w:rPr>
          <w:rFonts w:ascii="Times New Roman" w:hAnsi="Times New Roman" w:cs="Times New Roman"/>
          <w:sz w:val="24"/>
          <w:szCs w:val="24"/>
        </w:rPr>
        <w:t>î</w:t>
      </w:r>
      <w:r w:rsidRPr="007045F7">
        <w:rPr>
          <w:rFonts w:ascii="Times New Roman" w:hAnsi="Times New Roman" w:cs="Times New Roman"/>
          <w:sz w:val="24"/>
          <w:szCs w:val="24"/>
        </w:rPr>
        <w:t>ntrerupere de sub un an f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>r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 xml:space="preserve"> modificarea semnificativ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 xml:space="preserve"> a factorilor de risc pentru apnee </w:t>
      </w:r>
      <w:r w:rsidR="00864CF2">
        <w:rPr>
          <w:rFonts w:ascii="Times New Roman" w:hAnsi="Times New Roman" w:cs="Times New Roman"/>
          <w:sz w:val="24"/>
          <w:szCs w:val="24"/>
        </w:rPr>
        <w:t>î</w:t>
      </w:r>
      <w:r w:rsidRPr="007045F7">
        <w:rPr>
          <w:rFonts w:ascii="Times New Roman" w:hAnsi="Times New Roman" w:cs="Times New Roman"/>
          <w:sz w:val="24"/>
          <w:szCs w:val="24"/>
        </w:rPr>
        <w:t>n somn (de ex. pacientul nu a sl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>bit 40 kg) medicul poate prescrie dispozitivul medical f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>r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 xml:space="preserve"> efectuarea poligrafiei/polisomnografiei,</w:t>
      </w:r>
    </w:p>
    <w:p w:rsidR="00AD4BB9" w:rsidRPr="007045F7" w:rsidRDefault="00AD4BB9" w:rsidP="00AD4B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F7">
        <w:rPr>
          <w:rFonts w:ascii="Times New Roman" w:hAnsi="Times New Roman" w:cs="Times New Roman"/>
          <w:sz w:val="24"/>
          <w:szCs w:val="24"/>
        </w:rPr>
        <w:t>Pentru o perioad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 xml:space="preserve"> de </w:t>
      </w:r>
      <w:r w:rsidR="00864CF2">
        <w:rPr>
          <w:rFonts w:ascii="Times New Roman" w:hAnsi="Times New Roman" w:cs="Times New Roman"/>
          <w:sz w:val="24"/>
          <w:szCs w:val="24"/>
        </w:rPr>
        <w:t>î</w:t>
      </w:r>
      <w:r w:rsidRPr="007045F7">
        <w:rPr>
          <w:rFonts w:ascii="Times New Roman" w:hAnsi="Times New Roman" w:cs="Times New Roman"/>
          <w:sz w:val="24"/>
          <w:szCs w:val="24"/>
        </w:rPr>
        <w:t xml:space="preserve">ntrerupere de un an </w:t>
      </w:r>
      <w:r w:rsidR="00864CF2">
        <w:rPr>
          <w:rFonts w:ascii="Times New Roman" w:hAnsi="Times New Roman" w:cs="Times New Roman"/>
          <w:sz w:val="24"/>
          <w:szCs w:val="24"/>
        </w:rPr>
        <w:t>ș</w:t>
      </w:r>
      <w:r w:rsidRPr="007045F7">
        <w:rPr>
          <w:rFonts w:ascii="Times New Roman" w:hAnsi="Times New Roman" w:cs="Times New Roman"/>
          <w:sz w:val="24"/>
          <w:szCs w:val="24"/>
        </w:rPr>
        <w:t>i peste un an pentru prescrierea dispozitivului medical este necesar</w:t>
      </w:r>
      <w:r w:rsidR="00864CF2">
        <w:rPr>
          <w:rFonts w:ascii="Times New Roman" w:hAnsi="Times New Roman" w:cs="Times New Roman"/>
          <w:sz w:val="24"/>
          <w:szCs w:val="24"/>
        </w:rPr>
        <w:t>ă</w:t>
      </w:r>
      <w:r w:rsidRPr="007045F7">
        <w:rPr>
          <w:rFonts w:ascii="Times New Roman" w:hAnsi="Times New Roman" w:cs="Times New Roman"/>
          <w:sz w:val="24"/>
          <w:szCs w:val="24"/>
        </w:rPr>
        <w:t xml:space="preserve"> efectuarea poligrafiei/polisomnografiei.</w:t>
      </w:r>
    </w:p>
    <w:p w:rsidR="00AD4BB9" w:rsidRPr="007045F7" w:rsidRDefault="00AD4BB9" w:rsidP="00803C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Pentru a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siguratul cu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 la terapie de </w:t>
      </w:r>
      <w:r w:rsidRPr="007045F7">
        <w:rPr>
          <w:rFonts w:ascii="Calibri" w:hAnsi="Calibri" w:cs="Calibri"/>
          <w:sz w:val="24"/>
          <w:szCs w:val="24"/>
          <w:lang w:val="ro-RO"/>
        </w:rPr>
        <w:t>&lt;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Pr="007045F7">
        <w:rPr>
          <w:rFonts w:ascii="Calibri" w:hAnsi="Calibri" w:cs="Calibri"/>
          <w:sz w:val="24"/>
          <w:szCs w:val="24"/>
          <w:lang w:val="ro-RO"/>
        </w:rPr>
        <w:t>&lt;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ultimele 3 luni 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ntrerupe decontarea sumei de 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>nchiriere pentru suportul de presiune pozitiv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CPAP/BPAP</w:t>
      </w:r>
      <w:r w:rsidR="00E37B4C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perioada cu complian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ță</w:t>
      </w:r>
      <w:r w:rsidR="00E37B4C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terapie sub nivelul recomandat</w:t>
      </w:r>
      <w:r w:rsidR="00E37B4C"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Pentru a putea beneficia de 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>suport de presiune pozitiv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CPAP/BPAP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n sistemul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rilor sociale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tate, asiguratul va relua procesul de ob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inere a dispozitivului medical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i va depune la casa de asigur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tate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ia medical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nso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 </w:t>
      </w:r>
      <w:r w:rsidR="00D45F2F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complian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803C6D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la terapie este de </w:t>
      </w:r>
      <w:r w:rsidR="00803C6D" w:rsidRPr="007045F7">
        <w:rPr>
          <w:sz w:val="24"/>
          <w:szCs w:val="24"/>
          <w:lang w:val="ro-RO"/>
        </w:rPr>
        <w:t>&gt;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/= 4 ore pe noapte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03C6D" w:rsidRPr="007045F7">
        <w:rPr>
          <w:sz w:val="24"/>
          <w:szCs w:val="24"/>
          <w:lang w:val="ro-RO"/>
        </w:rPr>
        <w:t>&gt;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>/= 70% din nop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03C6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ultimele 3 luni.  </w:t>
      </w:r>
    </w:p>
    <w:p w:rsidR="00AD4BB9" w:rsidRPr="007045F7" w:rsidRDefault="00AD4BB9" w:rsidP="00AD4B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care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suportul de presiune pozitiv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continu</w:t>
      </w:r>
      <w:r w:rsidR="00864CF2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CPAP/BPAP </w:t>
      </w: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este defect 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se 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>nlocuie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>te cu un alt dispozitiv, complian</w:t>
      </w:r>
      <w:r w:rsidR="00864CF2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>a la terapie</w:t>
      </w:r>
      <w:r w:rsidR="00FE7B08" w:rsidRPr="00FE7B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7B08" w:rsidRPr="007045F7">
        <w:rPr>
          <w:rFonts w:ascii="Times New Roman" w:hAnsi="Times New Roman" w:cs="Times New Roman"/>
          <w:sz w:val="24"/>
          <w:szCs w:val="24"/>
          <w:lang w:val="ro-RO"/>
        </w:rPr>
        <w:t>aferent</w:t>
      </w:r>
      <w:r w:rsidR="00FE7B0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E7B08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perioadei utilizate</w:t>
      </w:r>
      <w:r w:rsidRPr="007045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citi pe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cardul de complian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al noului dispozitiv.</w:t>
      </w:r>
      <w:r w:rsidR="00353129" w:rsidRPr="007045F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7FBB" w:rsidRPr="007045F7" w:rsidRDefault="00857FBB" w:rsidP="007837CC">
      <w:pPr>
        <w:rPr>
          <w:rFonts w:ascii="Times New Roman" w:hAnsi="Times New Roman" w:cs="Times New Roman"/>
          <w:sz w:val="8"/>
          <w:szCs w:val="24"/>
          <w:lang w:val="ro-RO"/>
        </w:rPr>
      </w:pPr>
    </w:p>
    <w:p w:rsidR="005E0CEC" w:rsidRPr="007045F7" w:rsidRDefault="007837CC" w:rsidP="005E0CE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1FCF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="00FB1A41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anexa nr. 38, punctul 13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va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5E0CEC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5E0CEC" w:rsidRPr="007045F7" w:rsidRDefault="005E0CEC" w:rsidP="005E0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“13. Dispozitive compresive </w:t>
      </w:r>
    </w:p>
    <w:tbl>
      <w:tblPr>
        <w:tblStyle w:val="TableGrid8"/>
        <w:tblW w:w="10008" w:type="dxa"/>
        <w:tblLayout w:type="fixed"/>
        <w:tblLook w:val="04A0" w:firstRow="1" w:lastRow="0" w:firstColumn="1" w:lastColumn="0" w:noHBand="0" w:noVBand="1"/>
      </w:tblPr>
      <w:tblGrid>
        <w:gridCol w:w="736"/>
        <w:gridCol w:w="3332"/>
        <w:gridCol w:w="1978"/>
        <w:gridCol w:w="1982"/>
        <w:gridCol w:w="1980"/>
      </w:tblGrid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5F7">
              <w:rPr>
                <w:rFonts w:ascii="Times New Roman" w:eastAsia="Calibri" w:hAnsi="Times New Roman" w:cs="Times New Roman"/>
              </w:rPr>
              <w:t>NR. CRT.</w:t>
            </w:r>
          </w:p>
        </w:tc>
        <w:tc>
          <w:tcPr>
            <w:tcW w:w="333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45F7">
              <w:rPr>
                <w:rFonts w:ascii="Times New Roman" w:eastAsia="Calibri" w:hAnsi="Times New Roman" w:cs="Times New Roman"/>
              </w:rPr>
              <w:t>DENUMIREA DISPOZITIVULUI MEDICAL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45F7">
              <w:rPr>
                <w:rFonts w:ascii="Times New Roman" w:eastAsia="Calibri" w:hAnsi="Times New Roman" w:cs="Times New Roman"/>
              </w:rPr>
              <w:t>TIPUL</w:t>
            </w: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45F7">
              <w:rPr>
                <w:rFonts w:ascii="Times New Roman" w:eastAsia="Calibri" w:hAnsi="Times New Roman" w:cs="Times New Roman"/>
              </w:rPr>
              <w:t xml:space="preserve">TERMEN DE </w:t>
            </w:r>
            <w:r w:rsidR="00864CF2">
              <w:rPr>
                <w:rFonts w:ascii="Times New Roman" w:eastAsia="Calibri" w:hAnsi="Times New Roman" w:cs="Times New Roman"/>
              </w:rPr>
              <w:t>Î</w:t>
            </w:r>
            <w:r w:rsidRPr="007045F7">
              <w:rPr>
                <w:rFonts w:ascii="Times New Roman" w:eastAsia="Calibri" w:hAnsi="Times New Roman" w:cs="Times New Roman"/>
              </w:rPr>
              <w:t>NLOCUIRE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45F7">
              <w:rPr>
                <w:rFonts w:ascii="Times New Roman" w:eastAsia="Calibri" w:hAnsi="Times New Roman" w:cs="Times New Roman"/>
              </w:rPr>
              <w:t>PRE</w:t>
            </w:r>
            <w:r w:rsidR="00864CF2">
              <w:rPr>
                <w:rFonts w:ascii="Times New Roman" w:eastAsia="Calibri" w:hAnsi="Times New Roman" w:cs="Times New Roman"/>
              </w:rPr>
              <w:t>Ț</w:t>
            </w:r>
            <w:r w:rsidRPr="007045F7">
              <w:rPr>
                <w:rFonts w:ascii="Times New Roman" w:eastAsia="Calibri" w:hAnsi="Times New Roman" w:cs="Times New Roman"/>
              </w:rPr>
              <w:t xml:space="preserve"> DE REFERIN</w:t>
            </w:r>
            <w:r w:rsidR="00864CF2">
              <w:rPr>
                <w:rFonts w:ascii="Times New Roman" w:eastAsia="Calibri" w:hAnsi="Times New Roman" w:cs="Times New Roman"/>
              </w:rPr>
              <w:t>ȚĂ</w:t>
            </w:r>
          </w:p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45F7">
              <w:rPr>
                <w:rFonts w:ascii="Times New Roman" w:eastAsia="Calibri" w:hAnsi="Times New Roman" w:cs="Times New Roman"/>
              </w:rPr>
              <w:t>LEI/BUC.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332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C5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Man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on compresiv pentru limfedem 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12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Man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on compresiv ajustabil pentru limfedem*)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12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Cagul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compresiv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Cagul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ț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ial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compresiv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nu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șă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compresiva **)***)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Vest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compresiva**)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Bluz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compresiva**)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Man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on compresiv membrul superior **)***)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Pantalon compresiv**)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ind w:left="1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Man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on compresiv membrul inferior **)***)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ind w:left="1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332" w:type="dxa"/>
          </w:tcPr>
          <w:p w:rsidR="005E0CEC" w:rsidRPr="007045F7" w:rsidRDefault="00864CF2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="005E0CEC"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oset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="005E0CEC"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compresiv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="005E0CEC"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**)***)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ind w:left="360" w:hanging="1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Masc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siliconic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ind w:left="360" w:hanging="1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nu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șă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siliconic</w:t>
            </w:r>
            <w:r w:rsidR="00864CF2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5F7" w:rsidRPr="007045F7" w:rsidTr="005D1960">
        <w:tc>
          <w:tcPr>
            <w:tcW w:w="736" w:type="dxa"/>
          </w:tcPr>
          <w:p w:rsidR="005E0CEC" w:rsidRPr="007045F7" w:rsidRDefault="005E0CEC" w:rsidP="005D1960">
            <w:pPr>
              <w:ind w:left="360" w:hanging="1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2" w:type="dxa"/>
          </w:tcPr>
          <w:p w:rsidR="005E0CEC" w:rsidRPr="007045F7" w:rsidRDefault="005E0CEC" w:rsidP="005D1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>Guler siliconic**)</w:t>
            </w:r>
          </w:p>
        </w:tc>
        <w:tc>
          <w:tcPr>
            <w:tcW w:w="1978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E0CEC" w:rsidRPr="007045F7" w:rsidRDefault="005E0CEC" w:rsidP="005D1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 luni</w:t>
            </w:r>
          </w:p>
        </w:tc>
        <w:tc>
          <w:tcPr>
            <w:tcW w:w="1980" w:type="dxa"/>
          </w:tcPr>
          <w:p w:rsidR="005E0CEC" w:rsidRPr="007045F7" w:rsidRDefault="005E0CEC" w:rsidP="005D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0CEC" w:rsidRPr="007045F7" w:rsidRDefault="005E0CEC" w:rsidP="005E0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E0CEC" w:rsidRPr="007045F7" w:rsidRDefault="005E0CEC" w:rsidP="005E0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*) se recomand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asiguratele care au suferit interven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ii chirurgicale – cu limfedem secundar limfadenectomiei axilare; se pot acorda dou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dispozitive medicale de acela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tip (st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nga-dreapta), dup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caz; termenul de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nlocuire pentru fiecare dispozitiv din cele dou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(st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nga-dreapta) este cel prev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zut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col. C4.</w:t>
      </w:r>
    </w:p>
    <w:p w:rsidR="005E0CEC" w:rsidRPr="007045F7" w:rsidRDefault="005E0CEC" w:rsidP="005E0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Medici curan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care fac recomandarea sunt medici de specialitate: oncologie medical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, chirurgie cu supraspecializare chirurgie oncologic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5E0CEC" w:rsidRPr="007045F7" w:rsidRDefault="005E0CEC" w:rsidP="005E0CEC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**) Dispozitivele medicale se adreseaz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pacien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ilor care au suferit arsuri, cu cicatrici hipertrofice sau cheloide cu sau f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poten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ial retractil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se recomand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tre medicii cu specializare chirurgie plastica, estetic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microchirurgie reconstructiv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medici cu specializare medicina fizica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de reabilitare.</w:t>
      </w:r>
    </w:p>
    <w:p w:rsidR="005E0CEC" w:rsidRPr="007045F7" w:rsidRDefault="005E0CEC" w:rsidP="005E0CEC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Dispozitivele medicale de la punctele: 3 ÷ 11 ofera o presiune corespunz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toare pacien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ilor adul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sau copii necesar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managementului cicatriceal.</w:t>
      </w:r>
    </w:p>
    <w:p w:rsidR="002B161D" w:rsidRDefault="005E0CEC" w:rsidP="005E0CEC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***) Se pot acorda doua dispozitive de acela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tip (st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nga/dreapta),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func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 de recomandarea medicului; termenul de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nlocuire pentru fiecare dispozitiv dintre cele dou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(st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â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nga/dreapta) sau bilateral este cel prev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zut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col. C4.”</w:t>
      </w:r>
    </w:p>
    <w:p w:rsidR="002B161D" w:rsidRPr="007045F7" w:rsidRDefault="002B161D" w:rsidP="002B161D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17</w:t>
      </w: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anexa nr. 38, se introduc dou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noi anexe, anexele 38 A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 38 B  </w:t>
      </w:r>
      <w:r w:rsidRPr="007045F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al 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ror cuprins este prev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zut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n anexa nr. 1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 anexa nr. 2 la prezentul ordin.</w:t>
      </w:r>
    </w:p>
    <w:p w:rsidR="002B161D" w:rsidRPr="007045F7" w:rsidRDefault="002B161D" w:rsidP="002B161D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5E0CEC" w:rsidRPr="007045F7" w:rsidRDefault="005E0CEC" w:rsidP="005E0CEC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:rsidR="002D4EDB" w:rsidRPr="007045F7" w:rsidRDefault="002D4EDB" w:rsidP="005E0CEC">
      <w:pPr>
        <w:rPr>
          <w:rFonts w:ascii="Liberation Serif" w:eastAsia="Noto Serif CJK SC" w:hAnsi="Liberation Serif" w:cs="Lohit Devanagari"/>
          <w:kern w:val="2"/>
          <w:sz w:val="16"/>
          <w:szCs w:val="24"/>
          <w:lang w:val="ro-RO" w:eastAsia="zh-CN" w:bidi="hi-IN"/>
        </w:rPr>
      </w:pPr>
    </w:p>
    <w:p w:rsidR="002D4EDB" w:rsidRPr="007045F7" w:rsidRDefault="007045F7" w:rsidP="001777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   </w:t>
      </w:r>
      <w:r w:rsidR="005E0CEC"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1</w:t>
      </w:r>
      <w:r w:rsidR="000267B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8</w:t>
      </w:r>
      <w:r w:rsidR="003D6AFD"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B00FA9" w:rsidRPr="007045F7">
        <w:rPr>
          <w:rFonts w:ascii="Times New Roman" w:hAnsi="Times New Roman" w:cs="Times New Roman"/>
          <w:b/>
          <w:sz w:val="24"/>
          <w:szCs w:val="24"/>
          <w:lang w:val="ro-RO"/>
        </w:rPr>
        <w:t>n anexa nr. 39, la art. 1, dup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D4EDB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alineatul (11) se introduce un nou alineat, alineatul  (11</w:t>
      </w:r>
      <w:r w:rsidR="002D4EDB" w:rsidRPr="007045F7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="002D4EDB" w:rsidRPr="007045F7">
        <w:rPr>
          <w:rFonts w:ascii="Times New Roman" w:hAnsi="Times New Roman" w:cs="Times New Roman"/>
          <w:b/>
          <w:sz w:val="24"/>
          <w:szCs w:val="24"/>
          <w:lang w:val="ro-RO"/>
        </w:rPr>
        <w:t>), cu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D4EDB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2D4EDB" w:rsidRPr="007045F7" w:rsidRDefault="002D4EDB" w:rsidP="00177783">
      <w:pPr>
        <w:autoSpaceDE w:val="0"/>
        <w:autoSpaceDN w:val="0"/>
        <w:adjustRightInd w:val="0"/>
        <w:spacing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“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(11</w:t>
      </w:r>
      <w:r w:rsidRPr="007045F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)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medical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pentru concentratorul de oxigen portabil prescris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asigura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ilor f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indica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oxigenoterapie de lung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concentrator de oxigen sta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ionar trebuie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fie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nso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formularul prev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zut la Anexa 38 A 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asumat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paraf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medic, respectiv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tre asigurat.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ia medical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pentru concentratorul de oxigen portabil prescris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asigura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ilor cu indica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 de oxigenoterapie de lung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durat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cu concentrator de oxigen sta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ionar trebuie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fie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nso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de formularul prev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zut la Anexa 38 B 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asumat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paraf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medic, respectiv prin semn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tre asigurat.</w:t>
      </w:r>
    </w:p>
    <w:p w:rsidR="002D4EDB" w:rsidRPr="007045F7" w:rsidRDefault="002D4EDB" w:rsidP="002D4EDB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   Durata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iei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pentru concentratorul de oxigen portabil 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este de maximum 90/91/92 de zile,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func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 de starea clinic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evolu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afec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grad de handicap accentuat sau grav,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grad de handicap grav sau accentuat. </w:t>
      </w:r>
      <w:r w:rsidR="00803C6D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Pentru  persoanele care sunt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="00803C6D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="00803C6D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grad de handicap accentuat sau grav definitiv durata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="00803C6D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iei este nelimitat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="00803C6D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. 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Medicul curant evalueaz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de oxigen portabil la fiecare vizit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cazul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care indica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dispare datorit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evolu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iei favorabile a bolii sub tratament sau datorit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remisiunii unei exacerb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ri acute, acesta va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ntrerupe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de oxigen portabil.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3756EC" w:rsidRPr="007045F7" w:rsidRDefault="003756EC" w:rsidP="00BF1544">
      <w:pPr>
        <w:jc w:val="both"/>
        <w:rPr>
          <w:rFonts w:ascii="Times New Roman" w:hAnsi="Times New Roman" w:cs="Times New Roman"/>
          <w:b/>
          <w:sz w:val="6"/>
          <w:szCs w:val="24"/>
          <w:lang w:val="ro-RO"/>
        </w:rPr>
      </w:pPr>
    </w:p>
    <w:p w:rsidR="00FD64C9" w:rsidRPr="007045F7" w:rsidRDefault="007045F7" w:rsidP="00704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3D6AFD"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1</w:t>
      </w:r>
      <w:r w:rsidR="000267B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9</w:t>
      </w:r>
      <w:r w:rsidR="003D6AFD"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FD64C9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anexa </w:t>
      </w:r>
      <w:r w:rsidR="00980363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FD64C9" w:rsidRPr="007045F7">
        <w:rPr>
          <w:rFonts w:ascii="Times New Roman" w:hAnsi="Times New Roman" w:cs="Times New Roman"/>
          <w:b/>
          <w:sz w:val="24"/>
          <w:szCs w:val="24"/>
          <w:lang w:val="ro-RO"/>
        </w:rPr>
        <w:t>47</w:t>
      </w:r>
      <w:r w:rsidR="00980363" w:rsidRPr="007045F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FD64C9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267B7">
        <w:rPr>
          <w:rFonts w:ascii="Times New Roman" w:hAnsi="Times New Roman" w:cs="Times New Roman"/>
          <w:b/>
          <w:sz w:val="24"/>
          <w:szCs w:val="24"/>
          <w:lang w:val="ro-RO"/>
        </w:rPr>
        <w:t>la pct. 11 sub</w:t>
      </w:r>
      <w:r w:rsidR="00FD64C9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pct. 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>11.9 se modific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>i va</w:t>
      </w:r>
      <w:r w:rsidR="00FD64C9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avea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FD64C9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FD64C9" w:rsidRPr="007045F7" w:rsidRDefault="00094C8E" w:rsidP="00B00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r w:rsidR="00B00FA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“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581928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.9. Pentru dispozitive medicale este necesar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utilizarea cardului na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ional de asigur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ri sociale de s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tate dac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dispozitivul se ridic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tre beneficiar de la sediul lucrativ/punctul de lucru al furnizorului de dispozitive medicale sau este expediat beneficiarului de 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tre furnizor prin transport propriu sau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nchiriat.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care ridicarea dispozitivului de la sediul lucrativ/punctul de lucru al furnizorului de dispozitive medicale sau primirea la domiciliu se face de 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tre apar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torul beneficiarului - membru al familiei cu grad de rudenie I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II, so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/so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ie,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mputernicit legal - prin act notarial/act de reprezentare prin avocat, se utilizeaz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cardul na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ional de asigur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ri sociale de s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tate sau cartea de identitate/buletinul de identitate/pa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="00FD64C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aportul acestuia.</w:t>
      </w:r>
    </w:p>
    <w:p w:rsidR="00FD64C9" w:rsidRPr="007045F7" w:rsidRDefault="00FD64C9" w:rsidP="00B00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situa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 care dispozitivul se elibereaz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po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, curierat, prezentarea cardului nu este necesar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; dovada primirii dispozitivului expediat de 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tre furnizor prin po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curierat, </w:t>
      </w:r>
      <w:r w:rsidR="000267B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face 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de c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tre beneficiar sau apar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torul acestuia - membru al familiei cu grad de rudenie I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 II, so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/so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ie, 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mputernicit legal prin act notarial/act de reprezentare prin avocat, reprezentant legal - cu specificarea adresei la care s-a f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cut livrarea.</w:t>
      </w:r>
      <w:r w:rsidR="00094C8E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B00FA9" w:rsidRPr="007045F7" w:rsidRDefault="00B00FA9" w:rsidP="00B00FA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ro-RO"/>
        </w:rPr>
      </w:pPr>
    </w:p>
    <w:p w:rsidR="00A2553F" w:rsidRPr="007045F7" w:rsidRDefault="007045F7" w:rsidP="00704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2B161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3D6AFD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anexa nr. 47, </w:t>
      </w:r>
      <w:r w:rsidR="000267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pct. 11, 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>dup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267B7">
        <w:rPr>
          <w:rFonts w:ascii="Times New Roman" w:hAnsi="Times New Roman" w:cs="Times New Roman"/>
          <w:b/>
          <w:sz w:val="24"/>
          <w:szCs w:val="24"/>
          <w:lang w:val="ro-RO"/>
        </w:rPr>
        <w:t>sub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pct. 11.10 se introduce un nou </w:t>
      </w:r>
      <w:r w:rsidR="000267B7">
        <w:rPr>
          <w:rFonts w:ascii="Times New Roman" w:hAnsi="Times New Roman" w:cs="Times New Roman"/>
          <w:b/>
          <w:sz w:val="24"/>
          <w:szCs w:val="24"/>
          <w:lang w:val="ro-RO"/>
        </w:rPr>
        <w:t>sub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punct, </w:t>
      </w:r>
      <w:r w:rsidR="000267B7">
        <w:rPr>
          <w:rFonts w:ascii="Times New Roman" w:hAnsi="Times New Roman" w:cs="Times New Roman"/>
          <w:b/>
          <w:sz w:val="24"/>
          <w:szCs w:val="24"/>
          <w:lang w:val="ro-RO"/>
        </w:rPr>
        <w:t>sub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>pct. 11.11 cu urm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2553F" w:rsidRPr="007045F7">
        <w:rPr>
          <w:rFonts w:ascii="Times New Roman" w:hAnsi="Times New Roman" w:cs="Times New Roman"/>
          <w:b/>
          <w:sz w:val="24"/>
          <w:szCs w:val="24"/>
          <w:lang w:val="ro-RO"/>
        </w:rPr>
        <w:t>torul cuprins:</w:t>
      </w:r>
    </w:p>
    <w:p w:rsidR="00A2553F" w:rsidRPr="007045F7" w:rsidRDefault="00A2553F" w:rsidP="00B00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="00721A0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“</w:t>
      </w:r>
      <w:r w:rsidR="00721A0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11.11. 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Pentru persoanele care beneficiaz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pachetul minimal de servicii medicale, serviciile medicale se acor</w:t>
      </w:r>
      <w:r w:rsidR="00B00FA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d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B00FA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B00FA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B00FA9"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prezentarea cardului na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ional de asigur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ri sociale de s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864CF2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tate.”</w:t>
      </w:r>
    </w:p>
    <w:p w:rsidR="00B00FA9" w:rsidRPr="007045F7" w:rsidRDefault="00B00FA9" w:rsidP="00B00FA9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930B9" w:rsidRPr="007045F7" w:rsidRDefault="007045F7" w:rsidP="00B00FA9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</w:t>
      </w:r>
    </w:p>
    <w:p w:rsidR="008F4595" w:rsidRPr="007045F7" w:rsidRDefault="005E0CEC" w:rsidP="00156B7E">
      <w:pPr>
        <w:suppressAutoHyphens/>
        <w:autoSpaceDN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156B7E" w:rsidRPr="007045F7"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="003A218D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156B7E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>(1) Prezentul ordin se public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>n Monitorul Oficial al Rom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>niei, Partea I.</w:t>
      </w:r>
    </w:p>
    <w:p w:rsidR="003756EC" w:rsidRPr="007045F7" w:rsidRDefault="003A218D" w:rsidP="0054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(2) Prevederile de la art. I </w:t>
      </w:r>
      <w:r w:rsidR="00AE3765" w:rsidRPr="007045F7">
        <w:rPr>
          <w:rFonts w:ascii="Times New Roman" w:hAnsi="Times New Roman" w:cs="Times New Roman"/>
          <w:sz w:val="24"/>
          <w:szCs w:val="24"/>
          <w:lang w:val="ro-RO"/>
        </w:rPr>
        <w:t>pct</w:t>
      </w:r>
      <w:r w:rsidR="005535B1"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045F7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E0CEC" w:rsidRPr="00B035DE">
        <w:rPr>
          <w:rFonts w:ascii="Times New Roman" w:hAnsi="Times New Roman" w:cs="Times New Roman"/>
          <w:sz w:val="24"/>
          <w:szCs w:val="24"/>
          <w:lang w:val="ro-RO"/>
        </w:rPr>
        <w:t xml:space="preserve">7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E0CEC" w:rsidRPr="00B035DE">
        <w:rPr>
          <w:rFonts w:ascii="Times New Roman" w:hAnsi="Times New Roman" w:cs="Times New Roman"/>
          <w:sz w:val="24"/>
          <w:szCs w:val="24"/>
          <w:lang w:val="ro-RO"/>
        </w:rPr>
        <w:t>i 16</w:t>
      </w:r>
      <w:r w:rsidR="00506DD2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>intr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vigoare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>ncep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nd cu data de 1 </w:t>
      </w:r>
      <w:r w:rsidR="00052391" w:rsidRPr="007045F7">
        <w:rPr>
          <w:rFonts w:ascii="Times New Roman" w:hAnsi="Times New Roman" w:cs="Times New Roman"/>
          <w:sz w:val="24"/>
          <w:szCs w:val="24"/>
          <w:lang w:val="ro-RO"/>
        </w:rPr>
        <w:t>ianuarie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5E0CEC" w:rsidRPr="007045F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6B7E" w:rsidRPr="007045F7" w:rsidRDefault="00156B7E" w:rsidP="008F45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3756EC" w:rsidRPr="007045F7" w:rsidRDefault="003756EC" w:rsidP="008F45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4595" w:rsidRPr="007045F7" w:rsidRDefault="008F4595" w:rsidP="008F45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262F" w:rsidRPr="007045F7" w:rsidRDefault="009D262F" w:rsidP="008F45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4595" w:rsidRPr="007045F7" w:rsidRDefault="008F4595" w:rsidP="008F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Ministrul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                                                              </w:t>
      </w:r>
      <w:r w:rsidR="00C8773B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p. 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Pre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edintele Casei Na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ionale </w:t>
      </w:r>
    </w:p>
    <w:p w:rsidR="008F4595" w:rsidRPr="007045F7" w:rsidRDefault="008F4595" w:rsidP="008F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="00422BCE" w:rsidRPr="007045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de Asigur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ri de S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tate</w:t>
      </w:r>
    </w:p>
    <w:p w:rsidR="008F4595" w:rsidRPr="007045F7" w:rsidRDefault="00422BCE" w:rsidP="008F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</w:t>
      </w:r>
      <w:r w:rsidR="008F4595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Alexandru RAFILA                                                                 </w:t>
      </w:r>
      <w:r w:rsidR="00A0614A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8F4595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0614A"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Cristian CELEA</w:t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4595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773B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773B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773B"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773B"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="00506DD2" w:rsidRPr="005C7E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8773B" w:rsidRPr="005C7E23">
        <w:rPr>
          <w:rFonts w:ascii="Times New Roman" w:hAnsi="Times New Roman" w:cs="Times New Roman"/>
          <w:b/>
          <w:sz w:val="24"/>
          <w:szCs w:val="24"/>
          <w:lang w:val="ro-RO"/>
        </w:rPr>
        <w:t>Vicepre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C8773B" w:rsidRPr="005C7E23">
        <w:rPr>
          <w:rFonts w:ascii="Times New Roman" w:hAnsi="Times New Roman" w:cs="Times New Roman"/>
          <w:b/>
          <w:sz w:val="24"/>
          <w:szCs w:val="24"/>
          <w:lang w:val="ro-RO"/>
        </w:rPr>
        <w:t>edinte</w:t>
      </w:r>
    </w:p>
    <w:p w:rsidR="00410D25" w:rsidRPr="007045F7" w:rsidRDefault="00A2553F" w:rsidP="006772FA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br w:type="page"/>
      </w:r>
      <w:r w:rsidR="00410D25" w:rsidRPr="007045F7">
        <w:rPr>
          <w:rFonts w:ascii="Times New Roman" w:hAnsi="Times New Roman" w:cs="Times New Roman"/>
          <w:sz w:val="28"/>
          <w:szCs w:val="28"/>
          <w:lang w:val="ro-RO"/>
        </w:rPr>
        <w:t>ANEXA 1</w:t>
      </w:r>
    </w:p>
    <w:p w:rsidR="009F4110" w:rsidRPr="007045F7" w:rsidRDefault="00410D25" w:rsidP="0041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F4110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5930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9F4110" w:rsidRPr="007045F7">
        <w:rPr>
          <w:rFonts w:ascii="Times New Roman" w:hAnsi="Times New Roman" w:cs="Times New Roman"/>
          <w:sz w:val="24"/>
          <w:szCs w:val="24"/>
          <w:lang w:val="ro-RO"/>
        </w:rPr>
        <w:t>38 A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Ordinul nr. 1</w:t>
      </w:r>
      <w:r w:rsidR="005930B9"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857/441/2023)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930B9" w:rsidRPr="007045F7" w:rsidRDefault="005930B9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 -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Denumire Furnizor 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 .....................................................................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lang w:val="ro-RO"/>
        </w:rPr>
        <w:t xml:space="preserve">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Specialitatea medicului prescriptor 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Date contact medic prescriptor: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- telefon/fax medic prescriptor 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(se va completa inclusiv prefixul de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lang w:val="ro-RO"/>
        </w:rPr>
        <w:t xml:space="preserve">  </w:t>
      </w:r>
      <w:r w:rsidRPr="007045F7">
        <w:rPr>
          <w:rFonts w:ascii="Times New Roman" w:hAnsi="Times New Roman" w:cs="Times New Roman"/>
          <w:lang w:val="ro-RO"/>
        </w:rPr>
        <w:tab/>
        <w:t xml:space="preserve">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- e-mail medic prescriptor 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Contract nr. 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CAS ..........................................................................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SET DE INDICA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II PENTRU CONCENTRATORUL DE OXIGEN PORTABIL -</w:t>
      </w: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Pacien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i f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r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ie de oxigenoterapie de lung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 cu concentrator de oxigen sta</w:t>
      </w:r>
      <w:r w:rsidR="00864CF2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ionar. 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Numele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asiguratului.......................................................................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(se va completa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ntregime numele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asiguratului)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2. Data na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terii 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3. Domiciliul 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4. Codul numeric personal/cod unic de asigurare al asiguratului 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5. Diagnosticul medical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diagnostic boli asociate: ...........................................</w:t>
      </w: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</w:pP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Criterii de acordare la ini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ierea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iei:</w:t>
      </w:r>
    </w:p>
    <w:p w:rsidR="009F4110" w:rsidRPr="007045F7" w:rsidRDefault="009F4110" w:rsidP="009F4110">
      <w:pPr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Boal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pulmonar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tip obstructiv (definit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prin raport VEMS/CV &lt; 70%) sau restrictiv (definit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prin CPT &lt; 70% din valoarea prezis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i/sau DLco &lt; 60% din valoarea prezis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),</w:t>
      </w:r>
    </w:p>
    <w:p w:rsidR="009F4110" w:rsidRPr="007045F7" w:rsidRDefault="009F4110" w:rsidP="009F411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Dispnee semnificativ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la efort (scor de minim 2 pe scala MMRC) la distan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,</w:t>
      </w:r>
    </w:p>
    <w:p w:rsidR="009F4110" w:rsidRPr="007045F7" w:rsidRDefault="009F4110" w:rsidP="009F411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Desaturare sever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la efort – sc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derea SpO2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cursul testului de mers 6 minute sub 88% la distan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,</w:t>
      </w:r>
    </w:p>
    <w:p w:rsidR="009F4110" w:rsidRPr="007045F7" w:rsidRDefault="009F4110" w:rsidP="009F411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- Decizia </w:t>
      </w:r>
      <w:r w:rsidR="00565EF7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medicului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exist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un poten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ial beneficiu al administr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rii oxigenului portabil </w:t>
      </w:r>
      <w:r w:rsidR="002B161D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unui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:</w:t>
      </w:r>
    </w:p>
    <w:p w:rsidR="00D17063" w:rsidRPr="007045F7" w:rsidRDefault="00D17063" w:rsidP="009F411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</w:p>
    <w:p w:rsidR="005803A8" w:rsidRPr="007045F7" w:rsidRDefault="005803A8" w:rsidP="005803A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Courier New" w:hAnsi="Courier New" w:cs="Courier New"/>
          <w:lang w:val="ro-RO"/>
        </w:rPr>
        <w:t xml:space="preserve">     _</w:t>
      </w:r>
    </w:p>
    <w:p w:rsidR="009F4110" w:rsidRPr="00F27198" w:rsidRDefault="005803A8" w:rsidP="005803A8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  </w:t>
      </w:r>
      <w:r w:rsidRPr="007045F7">
        <w:rPr>
          <w:rFonts w:ascii="Courier New" w:hAnsi="Courier New" w:cs="Courier New"/>
          <w:lang w:val="ro-RO"/>
        </w:rPr>
        <w:t>|_|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pacient activ (salariat sau elev/student cu frecven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ță</w:t>
      </w:r>
      <w:r w:rsidR="009F4110" w:rsidRPr="00F27198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)</w:t>
      </w:r>
      <w:r w:rsidR="00DD4BEA" w:rsidRPr="00F27198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, sau</w:t>
      </w:r>
    </w:p>
    <w:p w:rsidR="005803A8" w:rsidRPr="00F27198" w:rsidRDefault="005803A8" w:rsidP="005803A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F27198">
        <w:rPr>
          <w:rFonts w:ascii="Courier New" w:hAnsi="Courier New" w:cs="Courier New"/>
          <w:lang w:val="ro-RO"/>
        </w:rPr>
        <w:t xml:space="preserve">     _</w:t>
      </w:r>
    </w:p>
    <w:p w:rsidR="005803A8" w:rsidRPr="007045F7" w:rsidRDefault="005803A8" w:rsidP="005803A8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        </w:t>
      </w:r>
      <w:r w:rsidRPr="007045F7">
        <w:rPr>
          <w:rFonts w:ascii="Courier New" w:hAnsi="Courier New" w:cs="Courier New"/>
          <w:lang w:val="ro-RO"/>
        </w:rPr>
        <w:t>|_|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pacient capabil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dispus s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fac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efort fizic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afara locuin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ei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="009F411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majoritatea zilelor</w:t>
      </w:r>
    </w:p>
    <w:p w:rsidR="009F4110" w:rsidRPr="007045F7" w:rsidRDefault="009F4110" w:rsidP="005803A8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Criterii de acordare la urm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toarele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ii:</w:t>
      </w:r>
    </w:p>
    <w:p w:rsidR="009F4110" w:rsidRPr="007045F7" w:rsidRDefault="009F4110" w:rsidP="009F4110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Complian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ță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m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surat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pe aparat – durat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de folosire medie de minim o or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pe zi,</w:t>
      </w:r>
    </w:p>
    <w:p w:rsidR="009F4110" w:rsidRPr="007045F7" w:rsidRDefault="009F4110" w:rsidP="009F4110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Criteriile </w:t>
      </w:r>
      <w:r w:rsidR="005803A8"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de acordare la ini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ț</w:t>
      </w:r>
      <w:r w:rsidR="005803A8"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ierea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ț</w:t>
      </w:r>
      <w:r w:rsidR="005803A8"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iei 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re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nnoite anual,</w:t>
      </w:r>
    </w:p>
    <w:p w:rsidR="009F4110" w:rsidRPr="007045F7" w:rsidRDefault="009F4110" w:rsidP="009F4110">
      <w:pPr>
        <w:suppressAutoHyphens/>
        <w:spacing w:after="0" w:line="240" w:lineRule="auto"/>
        <w:ind w:firstLine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Durata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iei este de maximum 90/91/92 de zile,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func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 de starea clinic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evolu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afec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grad de handicap accentuat sau grav,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grad de handicap grav sau accentuat. Medicul curant evalueaz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de oxigen portabil la fiecare vizit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cazul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care indica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dispare datorit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evolu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iei favorabile a bolii sub tratament sau datorit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remisiunii unei exacerb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ri acute, acesta va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ntrerupe prescrip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de oxigen portabil.</w:t>
      </w:r>
    </w:p>
    <w:p w:rsidR="009F4110" w:rsidRPr="007045F7" w:rsidRDefault="009F4110" w:rsidP="009F4110">
      <w:pPr>
        <w:suppressAutoHyphens/>
        <w:spacing w:after="0" w:line="240" w:lineRule="auto"/>
        <w:ind w:firstLine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Medicii curan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care fac recomandarea:</w:t>
      </w: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medici de specialitate pneumologie sau pneumologie pediatric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care sunt 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contract cu casele de asigur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ri de s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</w:t>
      </w:r>
      <w:r w:rsidR="00864CF2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tate pentru furnizarea de servicii medicale.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Data emiterii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Semn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tura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parafa medicului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Sunt de acord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utilizez concentratorul de oxigen portabil 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pe toat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perioada recomandat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de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tre medic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Semn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asigurat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:rsidR="005803A8" w:rsidRPr="007045F7" w:rsidRDefault="005803A8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803A8" w:rsidRPr="007045F7" w:rsidRDefault="005803A8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   Formularul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nso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 recomandarea pentru concentratorul de oxigen portabil prescris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asigura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ilor  f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oxigenoterapie de lung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cu concentrator de oxigen sta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410D25" w:rsidRPr="007045F7" w:rsidRDefault="00410D25" w:rsidP="009F4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9F4110" w:rsidRPr="007045F7" w:rsidRDefault="00410D25" w:rsidP="009F4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45F7">
        <w:rPr>
          <w:rFonts w:ascii="Times New Roman" w:eastAsia="Calibri" w:hAnsi="Times New Roman" w:cs="Times New Roman"/>
          <w:sz w:val="24"/>
          <w:szCs w:val="24"/>
          <w:lang w:val="ro-RO"/>
        </w:rPr>
        <w:t>ANEXA 2</w:t>
      </w:r>
    </w:p>
    <w:p w:rsidR="009F4110" w:rsidRPr="007045F7" w:rsidRDefault="009F4110" w:rsidP="009F411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10D25" w:rsidRPr="007045F7" w:rsidRDefault="00410D25" w:rsidP="0041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9F4110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5930B9" w:rsidRPr="007045F7"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5930B9"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4110" w:rsidRPr="007045F7">
        <w:rPr>
          <w:rFonts w:ascii="Times New Roman" w:hAnsi="Times New Roman" w:cs="Times New Roman"/>
          <w:sz w:val="24"/>
          <w:szCs w:val="24"/>
          <w:lang w:val="ro-RO"/>
        </w:rPr>
        <w:t>38 B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la Ordinul nr. 1</w:t>
      </w:r>
      <w:r w:rsidR="005930B9" w:rsidRPr="007045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857/441/2023)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10D25" w:rsidRPr="007045F7" w:rsidRDefault="00410D25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 -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Denumire Furnizor 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 .....................................................................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lang w:val="ro-RO"/>
        </w:rPr>
        <w:t xml:space="preserve">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Specialitatea medicului prescriptor 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Date contact medic prescriptor: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- telefon/fax medic prescriptor 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(se va completa inclusiv prefixul de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lang w:val="ro-RO"/>
        </w:rPr>
        <w:t xml:space="preserve">  </w:t>
      </w:r>
      <w:r w:rsidRPr="007045F7">
        <w:rPr>
          <w:rFonts w:ascii="Times New Roman" w:hAnsi="Times New Roman" w:cs="Times New Roman"/>
          <w:lang w:val="ro-RO"/>
        </w:rPr>
        <w:tab/>
        <w:t xml:space="preserve">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- e-mail medic prescriptor 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Contract nr. 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CAS ..........................................................................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SET DE INDICA</w:t>
      </w:r>
      <w:r w:rsidR="00864CF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II PENTRU CONCENTRATORUL DE OXIGEN PORTABIL -</w:t>
      </w: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Pacien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 cu indica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ie de oxigenoterapie de lung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 xml:space="preserve"> cu concentrator de oxigen sta</w:t>
      </w:r>
      <w:r w:rsidR="00864CF2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b/>
          <w:kern w:val="2"/>
          <w:sz w:val="24"/>
          <w:szCs w:val="24"/>
          <w:lang w:val="ro-RO" w:eastAsia="zh-CN" w:bidi="hi-IN"/>
        </w:rPr>
        <w:t>ionar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Numele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asiguratului.......................................................................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(se va completa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ntregime numele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asiguratului)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2. Data na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terii 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3. Domiciliul 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4. Codul numeric personal/cod unic de asigurare al asiguratului 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5. Diagnosticul medical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diagnostic boli asociate: ...........................................</w:t>
      </w: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</w:pP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Criterii de acordare la ini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ierea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(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plus fa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criteriile de acordare a concentratorului de oxigen sta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ionar):</w:t>
      </w:r>
    </w:p>
    <w:p w:rsidR="009F4110" w:rsidRPr="007045F7" w:rsidRDefault="009F4110" w:rsidP="009F411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Dispnee semnificativ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la efort (scor de minim 2 pe scala MMRC) la distan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,</w:t>
      </w:r>
    </w:p>
    <w:p w:rsidR="009F4110" w:rsidRPr="007045F7" w:rsidRDefault="009F4110" w:rsidP="009F411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Test de mers 6 minute efectuat cu titrare de oxigen (adic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debit de oxigen cresc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â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nd pentru a men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ine o SpO2 de minim 88%) la distan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minim o lun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de la un episod de exacerbare acut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, pentru a certifica abilitatea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disponibilitatea pacientului de a efectua efort fizic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ei,</w:t>
      </w:r>
    </w:p>
    <w:p w:rsidR="009F4110" w:rsidRPr="007045F7" w:rsidRDefault="009F4110" w:rsidP="009F411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Decizia medicului 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exist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un poten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ial beneficiu al administr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rii oxigenului portabil </w:t>
      </w:r>
      <w:r w:rsidR="00A77A28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unui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:</w:t>
      </w:r>
    </w:p>
    <w:p w:rsidR="005803A8" w:rsidRPr="007045F7" w:rsidRDefault="005803A8" w:rsidP="005803A8">
      <w:pPr>
        <w:pStyle w:val="ListParagraph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7045F7">
        <w:rPr>
          <w:rFonts w:ascii="Courier New" w:hAnsi="Courier New" w:cs="Courier New"/>
        </w:rPr>
        <w:t xml:space="preserve">  _</w:t>
      </w:r>
    </w:p>
    <w:p w:rsidR="009F4110" w:rsidRPr="00F27198" w:rsidRDefault="005803A8" w:rsidP="005803A8">
      <w:pPr>
        <w:pStyle w:val="ListParagraph"/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7045F7">
        <w:rPr>
          <w:rFonts w:ascii="Courier New" w:hAnsi="Courier New" w:cs="Courier New"/>
        </w:rPr>
        <w:t xml:space="preserve">|_| 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pacient activ (salariat sau elev/student cu frecven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ță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),</w:t>
      </w:r>
      <w:r w:rsidR="00DD4BEA" w:rsidRPr="00F2719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sau</w:t>
      </w:r>
    </w:p>
    <w:p w:rsidR="005803A8" w:rsidRPr="007045F7" w:rsidRDefault="005803A8" w:rsidP="005803A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Courier New" w:hAnsi="Courier New" w:cs="Courier New"/>
          <w:lang w:val="ro-RO"/>
        </w:rPr>
        <w:t xml:space="preserve">        _</w:t>
      </w:r>
    </w:p>
    <w:p w:rsidR="009F4110" w:rsidRPr="007045F7" w:rsidRDefault="005803A8" w:rsidP="005803A8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              </w:t>
      </w:r>
      <w:r w:rsidRPr="007045F7">
        <w:rPr>
          <w:rFonts w:ascii="Courier New" w:hAnsi="Courier New" w:cs="Courier New"/>
          <w:lang w:val="ro-RO"/>
        </w:rPr>
        <w:t>|_|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pacient capabil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dispus 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fac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efort fizic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afara locuin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ei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="009F4110"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majoritatea zilelor.</w:t>
      </w:r>
    </w:p>
    <w:p w:rsidR="005803A8" w:rsidRPr="007045F7" w:rsidRDefault="005803A8" w:rsidP="005803A8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</w:p>
    <w:p w:rsidR="009F4110" w:rsidRPr="007045F7" w:rsidRDefault="009F4110" w:rsidP="009F4110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Durata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iei este de maximum 90/91/92 de zile,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func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starea clinic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evolu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afec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grad de handicap accentuat sau grav,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ncadrate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grad de handicap grav sau accentuat. Medicul curant evalueaz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 la fiecare vizit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.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n cazul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care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dispare datorit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evolu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iei favorabile a bolii sub tratament sau datorit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remisiunii unei exacerb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ri acute, acesta va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ntrerupe prescrip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ia de oxigen portabil.</w:t>
      </w:r>
    </w:p>
    <w:p w:rsidR="009F4110" w:rsidRPr="007045F7" w:rsidRDefault="009F4110" w:rsidP="009F4110">
      <w:pPr>
        <w:suppressAutoHyphens/>
        <w:spacing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Medicii curan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 care fac recomandarea:</w:t>
      </w:r>
    </w:p>
    <w:p w:rsidR="009F4110" w:rsidRPr="007045F7" w:rsidRDefault="009F4110" w:rsidP="009F4110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- medici de specialitate pneumologie sau pneumologie pediatric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care sunt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 contract cu casele de asigur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ri de 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tate pentru furnizarea de servicii medicale.</w:t>
      </w:r>
    </w:p>
    <w:p w:rsidR="009F4110" w:rsidRPr="007045F7" w:rsidRDefault="009F4110" w:rsidP="009F4110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Data emiterii prescrip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Semn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tura 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parafa medicului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Sunt de acord s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utilizez concentratorul de oxigen portabil 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pe toat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perioada recomandat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de c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tre medic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Semn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tur</w:t>
      </w:r>
      <w:r w:rsidR="00864CF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asigurat</w:t>
      </w:r>
    </w:p>
    <w:p w:rsidR="0091065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:rsidR="00AB3836" w:rsidRPr="007045F7" w:rsidRDefault="00AB3836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218D" w:rsidRPr="007045F7" w:rsidRDefault="003A218D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F4110" w:rsidRPr="007045F7" w:rsidRDefault="00910650" w:rsidP="009F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Formularul 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nso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 recomandarea pentru concentratorul de oxigen portabil prescris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asigura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ilor  cu indica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oxigenoterapie de lung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durat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cu concentrator de oxigen sta</w:t>
      </w:r>
      <w:r w:rsidR="00864CF2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ionar.</w:t>
      </w:r>
      <w:r w:rsidR="009F4110" w:rsidRPr="007045F7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9F4110" w:rsidRPr="007045F7" w:rsidRDefault="009F4110" w:rsidP="009F41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942089" w:rsidRPr="007045F7" w:rsidRDefault="00942089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A218D" w:rsidRPr="007045F7" w:rsidRDefault="003A218D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A218D" w:rsidRPr="007045F7" w:rsidRDefault="003A218D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A218D" w:rsidRPr="007045F7" w:rsidRDefault="003A218D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A218D" w:rsidRPr="007045F7" w:rsidRDefault="003A218D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A218D" w:rsidRPr="007045F7" w:rsidRDefault="003A218D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10D25" w:rsidRPr="007045F7" w:rsidRDefault="00410D25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10D25" w:rsidRPr="007045F7" w:rsidRDefault="00410D25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10D25" w:rsidRPr="007045F7" w:rsidRDefault="00410D25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10D25" w:rsidRPr="007045F7" w:rsidRDefault="00410D25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10D25" w:rsidRPr="007045F7" w:rsidRDefault="00410D25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942089" w:rsidRPr="007045F7" w:rsidRDefault="00942089" w:rsidP="00BF1544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942089" w:rsidRPr="007045F7" w:rsidSect="00A8175C">
      <w:footerReference w:type="default" r:id="rId7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75" w:rsidRDefault="007F6675" w:rsidP="00A8175C">
      <w:pPr>
        <w:spacing w:after="0" w:line="240" w:lineRule="auto"/>
      </w:pPr>
      <w:r>
        <w:separator/>
      </w:r>
    </w:p>
  </w:endnote>
  <w:endnote w:type="continuationSeparator" w:id="0">
    <w:p w:rsidR="007F6675" w:rsidRDefault="007F6675" w:rsidP="00A8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83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227" w:rsidRDefault="007C2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5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2227" w:rsidRDefault="007C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75" w:rsidRDefault="007F6675" w:rsidP="00A8175C">
      <w:pPr>
        <w:spacing w:after="0" w:line="240" w:lineRule="auto"/>
      </w:pPr>
      <w:r>
        <w:separator/>
      </w:r>
    </w:p>
  </w:footnote>
  <w:footnote w:type="continuationSeparator" w:id="0">
    <w:p w:rsidR="007F6675" w:rsidRDefault="007F6675" w:rsidP="00A8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7F4"/>
    <w:multiLevelType w:val="hybridMultilevel"/>
    <w:tmpl w:val="4D1CC49C"/>
    <w:lvl w:ilvl="0" w:tplc="09A452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F13"/>
    <w:multiLevelType w:val="multilevel"/>
    <w:tmpl w:val="303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7336B3"/>
    <w:multiLevelType w:val="hybridMultilevel"/>
    <w:tmpl w:val="96C6B960"/>
    <w:lvl w:ilvl="0" w:tplc="1F6CF8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062EB3"/>
    <w:multiLevelType w:val="hybridMultilevel"/>
    <w:tmpl w:val="79E48EE4"/>
    <w:lvl w:ilvl="0" w:tplc="FDF2D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E3"/>
    <w:multiLevelType w:val="hybridMultilevel"/>
    <w:tmpl w:val="79E48EE4"/>
    <w:lvl w:ilvl="0" w:tplc="FDF2D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5678"/>
    <w:multiLevelType w:val="hybridMultilevel"/>
    <w:tmpl w:val="72F0D25A"/>
    <w:lvl w:ilvl="0" w:tplc="5C3E2D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1DFB"/>
    <w:multiLevelType w:val="hybridMultilevel"/>
    <w:tmpl w:val="9C608C0C"/>
    <w:lvl w:ilvl="0" w:tplc="6E6A51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43A"/>
    <w:multiLevelType w:val="hybridMultilevel"/>
    <w:tmpl w:val="7642266A"/>
    <w:lvl w:ilvl="0" w:tplc="7E8AEBF4">
      <w:start w:val="11"/>
      <w:numFmt w:val="bullet"/>
      <w:lvlText w:val="-"/>
      <w:lvlJc w:val="left"/>
      <w:pPr>
        <w:ind w:left="1080" w:hanging="360"/>
      </w:pPr>
      <w:rPr>
        <w:rFonts w:ascii="Liberation Serif" w:eastAsia="Noto Serif CJK SC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74BF9"/>
    <w:multiLevelType w:val="hybridMultilevel"/>
    <w:tmpl w:val="ECF645DA"/>
    <w:lvl w:ilvl="0" w:tplc="4C5E1C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E4B34"/>
    <w:multiLevelType w:val="multilevel"/>
    <w:tmpl w:val="9E2C7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AF50B6"/>
    <w:multiLevelType w:val="hybridMultilevel"/>
    <w:tmpl w:val="3A44CBA8"/>
    <w:lvl w:ilvl="0" w:tplc="C3901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65415"/>
    <w:multiLevelType w:val="multilevel"/>
    <w:tmpl w:val="9E2C7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ECC010C"/>
    <w:multiLevelType w:val="multilevel"/>
    <w:tmpl w:val="979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F247688"/>
    <w:multiLevelType w:val="hybridMultilevel"/>
    <w:tmpl w:val="EE50133E"/>
    <w:lvl w:ilvl="0" w:tplc="5C8CEDF8">
      <w:start w:val="11"/>
      <w:numFmt w:val="bullet"/>
      <w:lvlText w:val="-"/>
      <w:lvlJc w:val="left"/>
      <w:pPr>
        <w:ind w:left="1080" w:hanging="360"/>
      </w:pPr>
      <w:rPr>
        <w:rFonts w:ascii="Liberation Serif" w:eastAsia="Noto Serif CJK SC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F6A8B"/>
    <w:multiLevelType w:val="hybridMultilevel"/>
    <w:tmpl w:val="38EE5BC0"/>
    <w:lvl w:ilvl="0" w:tplc="6D9C62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F"/>
    <w:rsid w:val="000267B7"/>
    <w:rsid w:val="0002700E"/>
    <w:rsid w:val="00031CA1"/>
    <w:rsid w:val="00047D2D"/>
    <w:rsid w:val="00052391"/>
    <w:rsid w:val="000649C1"/>
    <w:rsid w:val="000808BD"/>
    <w:rsid w:val="00090B23"/>
    <w:rsid w:val="00094C8E"/>
    <w:rsid w:val="000A4CF7"/>
    <w:rsid w:val="001475AE"/>
    <w:rsid w:val="00156B7E"/>
    <w:rsid w:val="0016198E"/>
    <w:rsid w:val="0016681A"/>
    <w:rsid w:val="00167F99"/>
    <w:rsid w:val="001740D5"/>
    <w:rsid w:val="00177783"/>
    <w:rsid w:val="00197DE7"/>
    <w:rsid w:val="001A458A"/>
    <w:rsid w:val="001A5EC1"/>
    <w:rsid w:val="001C15BC"/>
    <w:rsid w:val="001C3BE6"/>
    <w:rsid w:val="00205B1E"/>
    <w:rsid w:val="00214DC7"/>
    <w:rsid w:val="00224633"/>
    <w:rsid w:val="00241457"/>
    <w:rsid w:val="00246CC6"/>
    <w:rsid w:val="0025212A"/>
    <w:rsid w:val="0028596E"/>
    <w:rsid w:val="002B161D"/>
    <w:rsid w:val="002C011A"/>
    <w:rsid w:val="002D066E"/>
    <w:rsid w:val="002D4EDB"/>
    <w:rsid w:val="002F4DFC"/>
    <w:rsid w:val="00332E90"/>
    <w:rsid w:val="00347941"/>
    <w:rsid w:val="00347BDB"/>
    <w:rsid w:val="00353129"/>
    <w:rsid w:val="00373DFA"/>
    <w:rsid w:val="003756EC"/>
    <w:rsid w:val="003A218D"/>
    <w:rsid w:val="003A23E4"/>
    <w:rsid w:val="003C281E"/>
    <w:rsid w:val="003C2B81"/>
    <w:rsid w:val="003C3967"/>
    <w:rsid w:val="003D637B"/>
    <w:rsid w:val="003D6AFD"/>
    <w:rsid w:val="003E653B"/>
    <w:rsid w:val="003E6952"/>
    <w:rsid w:val="003F187F"/>
    <w:rsid w:val="00410D25"/>
    <w:rsid w:val="00422BCE"/>
    <w:rsid w:val="00452EDF"/>
    <w:rsid w:val="00454F94"/>
    <w:rsid w:val="00473CAD"/>
    <w:rsid w:val="004939B8"/>
    <w:rsid w:val="00496172"/>
    <w:rsid w:val="004B0688"/>
    <w:rsid w:val="004B3B10"/>
    <w:rsid w:val="004D28E0"/>
    <w:rsid w:val="004D3C9B"/>
    <w:rsid w:val="00505247"/>
    <w:rsid w:val="00506DD2"/>
    <w:rsid w:val="00512959"/>
    <w:rsid w:val="00523FC3"/>
    <w:rsid w:val="005246E5"/>
    <w:rsid w:val="0054761D"/>
    <w:rsid w:val="00550CD9"/>
    <w:rsid w:val="005535B1"/>
    <w:rsid w:val="0055372C"/>
    <w:rsid w:val="00561F84"/>
    <w:rsid w:val="00565EF7"/>
    <w:rsid w:val="005803A8"/>
    <w:rsid w:val="00581928"/>
    <w:rsid w:val="00583B1C"/>
    <w:rsid w:val="005874D2"/>
    <w:rsid w:val="005930B9"/>
    <w:rsid w:val="00593287"/>
    <w:rsid w:val="005A5AE2"/>
    <w:rsid w:val="005A6632"/>
    <w:rsid w:val="005C226A"/>
    <w:rsid w:val="005C2A47"/>
    <w:rsid w:val="005C2BCA"/>
    <w:rsid w:val="005C7E23"/>
    <w:rsid w:val="005D1F6B"/>
    <w:rsid w:val="005D59CB"/>
    <w:rsid w:val="005D6F8D"/>
    <w:rsid w:val="005D7B05"/>
    <w:rsid w:val="005E0CEC"/>
    <w:rsid w:val="00610DC0"/>
    <w:rsid w:val="006276EB"/>
    <w:rsid w:val="006450BB"/>
    <w:rsid w:val="006546C0"/>
    <w:rsid w:val="006636B0"/>
    <w:rsid w:val="00672B30"/>
    <w:rsid w:val="006772FA"/>
    <w:rsid w:val="006C1C7B"/>
    <w:rsid w:val="006D479A"/>
    <w:rsid w:val="006D55DF"/>
    <w:rsid w:val="006D5653"/>
    <w:rsid w:val="006F15DF"/>
    <w:rsid w:val="00701C49"/>
    <w:rsid w:val="007045F7"/>
    <w:rsid w:val="00721A00"/>
    <w:rsid w:val="00733F84"/>
    <w:rsid w:val="0073535D"/>
    <w:rsid w:val="00737BED"/>
    <w:rsid w:val="007630A8"/>
    <w:rsid w:val="00775EC0"/>
    <w:rsid w:val="007837CC"/>
    <w:rsid w:val="007A5AC8"/>
    <w:rsid w:val="007A668B"/>
    <w:rsid w:val="007C2227"/>
    <w:rsid w:val="007C4231"/>
    <w:rsid w:val="007D09B0"/>
    <w:rsid w:val="007E5EC8"/>
    <w:rsid w:val="007E65DC"/>
    <w:rsid w:val="007F6675"/>
    <w:rsid w:val="0080073D"/>
    <w:rsid w:val="00803C6D"/>
    <w:rsid w:val="0082108A"/>
    <w:rsid w:val="00830C26"/>
    <w:rsid w:val="00852BC0"/>
    <w:rsid w:val="00857FBB"/>
    <w:rsid w:val="00861FCF"/>
    <w:rsid w:val="00864CF2"/>
    <w:rsid w:val="008735FE"/>
    <w:rsid w:val="008976A1"/>
    <w:rsid w:val="008F4595"/>
    <w:rsid w:val="009009AD"/>
    <w:rsid w:val="009065A4"/>
    <w:rsid w:val="00910650"/>
    <w:rsid w:val="009258B1"/>
    <w:rsid w:val="00930D30"/>
    <w:rsid w:val="00942089"/>
    <w:rsid w:val="00945F29"/>
    <w:rsid w:val="0097206C"/>
    <w:rsid w:val="00973C46"/>
    <w:rsid w:val="00980363"/>
    <w:rsid w:val="009B6287"/>
    <w:rsid w:val="009C5DF6"/>
    <w:rsid w:val="009D262F"/>
    <w:rsid w:val="009E1E9B"/>
    <w:rsid w:val="009F3B26"/>
    <w:rsid w:val="009F4110"/>
    <w:rsid w:val="00A049CB"/>
    <w:rsid w:val="00A0614A"/>
    <w:rsid w:val="00A064EB"/>
    <w:rsid w:val="00A131DE"/>
    <w:rsid w:val="00A2553F"/>
    <w:rsid w:val="00A4617C"/>
    <w:rsid w:val="00A5154C"/>
    <w:rsid w:val="00A716CE"/>
    <w:rsid w:val="00A77A28"/>
    <w:rsid w:val="00A8175C"/>
    <w:rsid w:val="00A81D25"/>
    <w:rsid w:val="00A9593D"/>
    <w:rsid w:val="00AA4A5F"/>
    <w:rsid w:val="00AA5991"/>
    <w:rsid w:val="00AB3836"/>
    <w:rsid w:val="00AC3B28"/>
    <w:rsid w:val="00AD4BB9"/>
    <w:rsid w:val="00AD7977"/>
    <w:rsid w:val="00AE0490"/>
    <w:rsid w:val="00AE3765"/>
    <w:rsid w:val="00AF2194"/>
    <w:rsid w:val="00B00FA9"/>
    <w:rsid w:val="00B035DE"/>
    <w:rsid w:val="00B10868"/>
    <w:rsid w:val="00B1140F"/>
    <w:rsid w:val="00B30FEE"/>
    <w:rsid w:val="00B57B13"/>
    <w:rsid w:val="00B62030"/>
    <w:rsid w:val="00B83239"/>
    <w:rsid w:val="00BB0D4C"/>
    <w:rsid w:val="00BC245E"/>
    <w:rsid w:val="00BF1544"/>
    <w:rsid w:val="00BF3C67"/>
    <w:rsid w:val="00C07E9C"/>
    <w:rsid w:val="00C21B7C"/>
    <w:rsid w:val="00C33E8F"/>
    <w:rsid w:val="00C40D1C"/>
    <w:rsid w:val="00C70CFD"/>
    <w:rsid w:val="00C75AC4"/>
    <w:rsid w:val="00C80CEE"/>
    <w:rsid w:val="00C81C3D"/>
    <w:rsid w:val="00C8344A"/>
    <w:rsid w:val="00C8773B"/>
    <w:rsid w:val="00CB4591"/>
    <w:rsid w:val="00CB461F"/>
    <w:rsid w:val="00CD392F"/>
    <w:rsid w:val="00D01A0D"/>
    <w:rsid w:val="00D17063"/>
    <w:rsid w:val="00D23FEF"/>
    <w:rsid w:val="00D420FA"/>
    <w:rsid w:val="00D45F2F"/>
    <w:rsid w:val="00D53D04"/>
    <w:rsid w:val="00D960A1"/>
    <w:rsid w:val="00DA5E85"/>
    <w:rsid w:val="00DC08BC"/>
    <w:rsid w:val="00DC7569"/>
    <w:rsid w:val="00DD4BEA"/>
    <w:rsid w:val="00E17477"/>
    <w:rsid w:val="00E266C7"/>
    <w:rsid w:val="00E27ABF"/>
    <w:rsid w:val="00E37B4C"/>
    <w:rsid w:val="00E4300B"/>
    <w:rsid w:val="00E62D97"/>
    <w:rsid w:val="00E9451F"/>
    <w:rsid w:val="00EB2C52"/>
    <w:rsid w:val="00ED278E"/>
    <w:rsid w:val="00EE49EA"/>
    <w:rsid w:val="00F02D50"/>
    <w:rsid w:val="00F0450D"/>
    <w:rsid w:val="00F07B70"/>
    <w:rsid w:val="00F15C32"/>
    <w:rsid w:val="00F17761"/>
    <w:rsid w:val="00F23E96"/>
    <w:rsid w:val="00F27198"/>
    <w:rsid w:val="00F3191D"/>
    <w:rsid w:val="00F3793B"/>
    <w:rsid w:val="00F45F50"/>
    <w:rsid w:val="00F6003D"/>
    <w:rsid w:val="00F73F48"/>
    <w:rsid w:val="00F936BC"/>
    <w:rsid w:val="00FA0A13"/>
    <w:rsid w:val="00FB1A41"/>
    <w:rsid w:val="00FC6894"/>
    <w:rsid w:val="00FD490A"/>
    <w:rsid w:val="00FD49CD"/>
    <w:rsid w:val="00FD64C9"/>
    <w:rsid w:val="00FE168D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2C24"/>
  <w15:docId w15:val="{B7E265F0-EC07-42B6-A4B2-F5D2CD7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2">
    <w:name w:val="Grilă Tabel22"/>
    <w:basedOn w:val="TableNormal"/>
    <w:uiPriority w:val="59"/>
    <w:rsid w:val="007E5EC8"/>
    <w:pPr>
      <w:suppressAutoHyphens/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21">
    <w:name w:val="Grilă Tabel221"/>
    <w:basedOn w:val="TableNormal"/>
    <w:uiPriority w:val="59"/>
    <w:rsid w:val="00830C26"/>
    <w:pPr>
      <w:suppressAutoHyphens/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3C3967"/>
    <w:pPr>
      <w:suppressAutoHyphens/>
      <w:spacing w:after="0" w:line="240" w:lineRule="auto"/>
    </w:pPr>
    <w:rPr>
      <w:rFonts w:eastAsiaTheme="minorEastAsia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0D5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A8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5C"/>
  </w:style>
  <w:style w:type="paragraph" w:styleId="Footer">
    <w:name w:val="footer"/>
    <w:basedOn w:val="Normal"/>
    <w:link w:val="FooterChar"/>
    <w:uiPriority w:val="99"/>
    <w:unhideWhenUsed/>
    <w:rsid w:val="00A8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5C"/>
  </w:style>
  <w:style w:type="table" w:styleId="TableGrid">
    <w:name w:val="Table Grid"/>
    <w:basedOn w:val="TableNormal"/>
    <w:uiPriority w:val="39"/>
    <w:rsid w:val="0004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CONSTANTIN</dc:creator>
  <cp:keywords/>
  <dc:description/>
  <cp:lastModifiedBy>Elisabeth BRUMA</cp:lastModifiedBy>
  <cp:revision>2</cp:revision>
  <cp:lastPrinted>2023-12-18T08:22:00Z</cp:lastPrinted>
  <dcterms:created xsi:type="dcterms:W3CDTF">2023-12-29T06:55:00Z</dcterms:created>
  <dcterms:modified xsi:type="dcterms:W3CDTF">2023-12-29T06:55:00Z</dcterms:modified>
</cp:coreProperties>
</file>